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E82D" w14:textId="4321400C" w:rsidR="00F57A5F" w:rsidRPr="00E51638" w:rsidRDefault="00F57A5F" w:rsidP="00F57A5F">
      <w:pPr>
        <w:spacing w:after="240"/>
        <w:ind w:left="3969"/>
        <w:rPr>
          <w:b/>
          <w:bCs/>
          <w:sz w:val="26"/>
          <w:szCs w:val="26"/>
        </w:rPr>
      </w:pPr>
      <w:r w:rsidRPr="00E51638">
        <w:rPr>
          <w:b/>
          <w:bCs/>
          <w:sz w:val="26"/>
          <w:szCs w:val="26"/>
        </w:rPr>
        <w:t xml:space="preserve">ACCIÓN DE INCONSTITUCIONALIDAD </w:t>
      </w:r>
    </w:p>
    <w:p w14:paraId="4514B7CD" w14:textId="55954E37" w:rsidR="00F57A5F" w:rsidRPr="00E51638" w:rsidRDefault="00F57A5F" w:rsidP="00F57A5F">
      <w:pPr>
        <w:spacing w:after="240"/>
        <w:ind w:left="3969"/>
        <w:rPr>
          <w:b/>
          <w:bCs/>
          <w:sz w:val="26"/>
          <w:szCs w:val="26"/>
        </w:rPr>
      </w:pPr>
      <w:r w:rsidRPr="00E51638">
        <w:rPr>
          <w:b/>
          <w:bCs/>
          <w:sz w:val="26"/>
          <w:szCs w:val="26"/>
        </w:rPr>
        <w:t>PROMOVENTES: PARTIDO POLÍTICO MOVIMIENTO CIUDADANO Y DIVERSOS INTEGRANTES DE LA SEXAGÉSIMA QUINTA LEGISLATURA DE LA CÁMARA DE SENADORES DEL CONGRESO DE LA UNIÓN</w:t>
      </w:r>
      <w:r w:rsidR="00BA5ECF">
        <w:rPr>
          <w:b/>
          <w:bCs/>
          <w:sz w:val="26"/>
          <w:szCs w:val="26"/>
        </w:rPr>
        <w:t>.</w:t>
      </w:r>
    </w:p>
    <w:p w14:paraId="46DC08D1" w14:textId="77777777" w:rsidR="00F57A5F" w:rsidRPr="00E51638" w:rsidRDefault="00F57A5F" w:rsidP="00F57A5F">
      <w:pPr>
        <w:spacing w:before="0" w:after="0"/>
        <w:rPr>
          <w:sz w:val="26"/>
          <w:szCs w:val="26"/>
        </w:rPr>
      </w:pPr>
    </w:p>
    <w:p w14:paraId="15ED3200" w14:textId="77777777" w:rsidR="00F57A5F" w:rsidRPr="00E51638" w:rsidRDefault="00F57A5F" w:rsidP="00F57A5F">
      <w:pPr>
        <w:spacing w:before="0"/>
        <w:rPr>
          <w:b/>
          <w:sz w:val="26"/>
          <w:szCs w:val="26"/>
        </w:rPr>
      </w:pPr>
      <w:r w:rsidRPr="00E51638">
        <w:rPr>
          <w:b/>
          <w:sz w:val="26"/>
          <w:szCs w:val="26"/>
        </w:rPr>
        <w:t>PONENTE: MINISTRO LUIS MARÍA AGUILAR MORALES</w:t>
      </w:r>
    </w:p>
    <w:p w14:paraId="75F24D6D" w14:textId="2E732CA1" w:rsidR="00906F35" w:rsidRPr="006E16AE" w:rsidRDefault="00906F35" w:rsidP="00906F35">
      <w:pPr>
        <w:tabs>
          <w:tab w:val="left" w:pos="2127"/>
        </w:tabs>
        <w:spacing w:before="0" w:after="0"/>
        <w:rPr>
          <w:b/>
          <w:color w:val="000000" w:themeColor="text1"/>
          <w:sz w:val="26"/>
          <w:szCs w:val="26"/>
        </w:rPr>
      </w:pPr>
      <w:r w:rsidRPr="00E51638">
        <w:rPr>
          <w:b/>
          <w:color w:val="000000" w:themeColor="text1"/>
          <w:sz w:val="26"/>
          <w:szCs w:val="26"/>
        </w:rPr>
        <w:t>SECRETARIO:</w:t>
      </w:r>
      <w:r>
        <w:rPr>
          <w:b/>
          <w:color w:val="000000" w:themeColor="text1"/>
          <w:sz w:val="26"/>
          <w:szCs w:val="26"/>
        </w:rPr>
        <w:t xml:space="preserve"> </w:t>
      </w:r>
      <w:r w:rsidRPr="00E51638">
        <w:rPr>
          <w:b/>
          <w:color w:val="000000" w:themeColor="text1"/>
          <w:sz w:val="26"/>
          <w:szCs w:val="26"/>
        </w:rPr>
        <w:t>LUIS ALBERTO TREJO OSORNIO</w:t>
      </w:r>
    </w:p>
    <w:p w14:paraId="72454839" w14:textId="77777777" w:rsidR="00F57A5F" w:rsidRPr="00E51638" w:rsidRDefault="00F57A5F" w:rsidP="00F57A5F">
      <w:pPr>
        <w:spacing w:before="0"/>
        <w:rPr>
          <w:b/>
          <w:sz w:val="26"/>
          <w:szCs w:val="26"/>
        </w:rPr>
      </w:pPr>
    </w:p>
    <w:p w14:paraId="60EA44E5" w14:textId="77777777" w:rsidR="00F57A5F" w:rsidRPr="00E51638" w:rsidRDefault="00F57A5F" w:rsidP="00F57A5F">
      <w:pPr>
        <w:spacing w:before="0" w:after="0"/>
        <w:jc w:val="center"/>
        <w:rPr>
          <w:b/>
          <w:bCs/>
          <w:sz w:val="26"/>
          <w:szCs w:val="26"/>
        </w:rPr>
      </w:pPr>
    </w:p>
    <w:p w14:paraId="48267DCA" w14:textId="362FFC1E" w:rsidR="00F57A5F" w:rsidRPr="00E51638" w:rsidRDefault="00F57A5F" w:rsidP="00F57A5F">
      <w:pPr>
        <w:spacing w:before="0" w:after="0"/>
        <w:jc w:val="center"/>
        <w:rPr>
          <w:b/>
          <w:bCs/>
          <w:sz w:val="26"/>
          <w:szCs w:val="26"/>
        </w:rPr>
      </w:pPr>
      <w:r w:rsidRPr="00E51638">
        <w:rPr>
          <w:b/>
          <w:bCs/>
          <w:sz w:val="26"/>
          <w:szCs w:val="26"/>
        </w:rPr>
        <w:t>ÍNDICE TEMÁTICO</w:t>
      </w:r>
    </w:p>
    <w:p w14:paraId="466BA09F" w14:textId="77777777" w:rsidR="00F57A5F" w:rsidRPr="00E51638" w:rsidRDefault="00F57A5F" w:rsidP="009E3A17">
      <w:pPr>
        <w:spacing w:before="0" w:after="0"/>
        <w:rPr>
          <w:b/>
          <w:bCs/>
          <w:sz w:val="26"/>
          <w:szCs w:val="26"/>
        </w:rPr>
      </w:pPr>
    </w:p>
    <w:tbl>
      <w:tblPr>
        <w:tblStyle w:val="Tablaconcuadrcula"/>
        <w:tblW w:w="9298" w:type="dxa"/>
        <w:tblLayout w:type="fixed"/>
        <w:tblLook w:val="04A0" w:firstRow="1" w:lastRow="0" w:firstColumn="1" w:lastColumn="0" w:noHBand="0" w:noVBand="1"/>
      </w:tblPr>
      <w:tblGrid>
        <w:gridCol w:w="704"/>
        <w:gridCol w:w="3686"/>
        <w:gridCol w:w="3827"/>
        <w:gridCol w:w="1081"/>
      </w:tblGrid>
      <w:tr w:rsidR="00F57A5F" w:rsidRPr="00E51638" w14:paraId="393B5484" w14:textId="77777777" w:rsidTr="00CC04EC">
        <w:trPr>
          <w:trHeight w:val="641"/>
        </w:trPr>
        <w:tc>
          <w:tcPr>
            <w:tcW w:w="704" w:type="dxa"/>
            <w:shd w:val="clear" w:color="auto" w:fill="D9D9D9" w:themeFill="background1" w:themeFillShade="D9"/>
            <w:vAlign w:val="center"/>
          </w:tcPr>
          <w:p w14:paraId="29FDD2B3" w14:textId="77777777" w:rsidR="00F57A5F" w:rsidRPr="00E51638" w:rsidRDefault="00F57A5F" w:rsidP="00FB1663">
            <w:pPr>
              <w:spacing w:before="0" w:after="0" w:line="240" w:lineRule="auto"/>
              <w:jc w:val="center"/>
              <w:rPr>
                <w:b/>
                <w:bCs/>
                <w:sz w:val="26"/>
                <w:szCs w:val="26"/>
              </w:rPr>
            </w:pPr>
          </w:p>
        </w:tc>
        <w:tc>
          <w:tcPr>
            <w:tcW w:w="3686" w:type="dxa"/>
            <w:shd w:val="clear" w:color="auto" w:fill="D9D9D9" w:themeFill="background1" w:themeFillShade="D9"/>
            <w:vAlign w:val="center"/>
          </w:tcPr>
          <w:p w14:paraId="0988D5D4" w14:textId="77777777" w:rsidR="00F57A5F" w:rsidRPr="00E51638" w:rsidRDefault="00F57A5F" w:rsidP="00FB1663">
            <w:pPr>
              <w:spacing w:before="0" w:after="0" w:line="240" w:lineRule="auto"/>
              <w:jc w:val="center"/>
              <w:rPr>
                <w:b/>
                <w:sz w:val="26"/>
                <w:szCs w:val="26"/>
              </w:rPr>
            </w:pPr>
            <w:r w:rsidRPr="00E51638">
              <w:rPr>
                <w:b/>
                <w:sz w:val="26"/>
                <w:szCs w:val="26"/>
              </w:rPr>
              <w:t>Apartado</w:t>
            </w:r>
          </w:p>
        </w:tc>
        <w:tc>
          <w:tcPr>
            <w:tcW w:w="3827" w:type="dxa"/>
            <w:shd w:val="clear" w:color="auto" w:fill="D9D9D9" w:themeFill="background1" w:themeFillShade="D9"/>
            <w:vAlign w:val="center"/>
          </w:tcPr>
          <w:p w14:paraId="617FCD5A" w14:textId="77777777" w:rsidR="00F57A5F" w:rsidRPr="00E51638" w:rsidRDefault="00F57A5F" w:rsidP="00FB1663">
            <w:pPr>
              <w:spacing w:before="0" w:after="0" w:line="240" w:lineRule="auto"/>
              <w:jc w:val="center"/>
              <w:rPr>
                <w:b/>
                <w:sz w:val="26"/>
                <w:szCs w:val="26"/>
              </w:rPr>
            </w:pPr>
            <w:r w:rsidRPr="00E51638">
              <w:rPr>
                <w:b/>
                <w:sz w:val="26"/>
                <w:szCs w:val="26"/>
              </w:rPr>
              <w:t>Criterio y decisión</w:t>
            </w:r>
          </w:p>
        </w:tc>
        <w:tc>
          <w:tcPr>
            <w:tcW w:w="1081" w:type="dxa"/>
            <w:shd w:val="clear" w:color="auto" w:fill="D9D9D9" w:themeFill="background1" w:themeFillShade="D9"/>
            <w:vAlign w:val="center"/>
          </w:tcPr>
          <w:p w14:paraId="7EF5DD64" w14:textId="77777777" w:rsidR="00F57A5F" w:rsidRPr="00E51638" w:rsidRDefault="00F57A5F" w:rsidP="00FB1663">
            <w:pPr>
              <w:spacing w:before="0" w:after="0" w:line="240" w:lineRule="auto"/>
              <w:jc w:val="center"/>
              <w:rPr>
                <w:b/>
                <w:sz w:val="26"/>
                <w:szCs w:val="26"/>
              </w:rPr>
            </w:pPr>
            <w:r w:rsidRPr="00E51638">
              <w:rPr>
                <w:b/>
                <w:sz w:val="26"/>
                <w:szCs w:val="26"/>
              </w:rPr>
              <w:t>Págs.</w:t>
            </w:r>
          </w:p>
        </w:tc>
      </w:tr>
      <w:tr w:rsidR="00F57A5F" w:rsidRPr="00E51638" w14:paraId="41405091" w14:textId="77777777" w:rsidTr="00FB1663">
        <w:trPr>
          <w:trHeight w:val="569"/>
        </w:trPr>
        <w:tc>
          <w:tcPr>
            <w:tcW w:w="704" w:type="dxa"/>
            <w:vAlign w:val="center"/>
          </w:tcPr>
          <w:p w14:paraId="34262A4A" w14:textId="77777777" w:rsidR="00F57A5F" w:rsidRPr="00E51638" w:rsidRDefault="00F57A5F" w:rsidP="00C84651">
            <w:pPr>
              <w:spacing w:before="0" w:after="0" w:line="240" w:lineRule="auto"/>
              <w:jc w:val="center"/>
              <w:rPr>
                <w:b/>
                <w:bCs/>
                <w:sz w:val="26"/>
                <w:szCs w:val="26"/>
              </w:rPr>
            </w:pPr>
            <w:r w:rsidRPr="00E51638">
              <w:rPr>
                <w:b/>
                <w:bCs/>
                <w:sz w:val="26"/>
                <w:szCs w:val="26"/>
              </w:rPr>
              <w:t>I.</w:t>
            </w:r>
          </w:p>
        </w:tc>
        <w:tc>
          <w:tcPr>
            <w:tcW w:w="3686" w:type="dxa"/>
            <w:vAlign w:val="center"/>
          </w:tcPr>
          <w:p w14:paraId="373126A9" w14:textId="77777777" w:rsidR="00F57A5F" w:rsidRPr="00E51638" w:rsidRDefault="00F57A5F" w:rsidP="00C84651">
            <w:pPr>
              <w:spacing w:before="0" w:after="0" w:line="240" w:lineRule="auto"/>
              <w:rPr>
                <w:b/>
                <w:sz w:val="26"/>
                <w:szCs w:val="26"/>
              </w:rPr>
            </w:pPr>
            <w:r w:rsidRPr="00E51638">
              <w:rPr>
                <w:b/>
                <w:sz w:val="26"/>
                <w:szCs w:val="26"/>
              </w:rPr>
              <w:t>COMPETENCIA</w:t>
            </w:r>
          </w:p>
        </w:tc>
        <w:tc>
          <w:tcPr>
            <w:tcW w:w="3827" w:type="dxa"/>
          </w:tcPr>
          <w:p w14:paraId="3B3723D4" w14:textId="77777777" w:rsidR="00F57A5F" w:rsidRPr="00E51638" w:rsidRDefault="009E3A17" w:rsidP="00C84651">
            <w:pPr>
              <w:spacing w:before="0" w:after="0" w:line="240" w:lineRule="auto"/>
              <w:rPr>
                <w:sz w:val="26"/>
                <w:szCs w:val="26"/>
              </w:rPr>
            </w:pPr>
            <w:r w:rsidRPr="00E51638">
              <w:rPr>
                <w:sz w:val="26"/>
                <w:szCs w:val="26"/>
              </w:rPr>
              <w:t>El Tribunal Pleno</w:t>
            </w:r>
            <w:r w:rsidR="00F57A5F" w:rsidRPr="00E51638">
              <w:rPr>
                <w:sz w:val="26"/>
                <w:szCs w:val="26"/>
              </w:rPr>
              <w:t xml:space="preserve"> es </w:t>
            </w:r>
            <w:r w:rsidR="00F57A5F" w:rsidRPr="00E51638">
              <w:rPr>
                <w:b/>
                <w:bCs/>
                <w:sz w:val="26"/>
                <w:szCs w:val="26"/>
              </w:rPr>
              <w:t>competente</w:t>
            </w:r>
            <w:r w:rsidR="00F57A5F" w:rsidRPr="00E51638">
              <w:rPr>
                <w:sz w:val="26"/>
                <w:szCs w:val="26"/>
              </w:rPr>
              <w:t xml:space="preserve"> para conocer del presente asunto.</w:t>
            </w:r>
          </w:p>
          <w:p w14:paraId="73A4E9B3" w14:textId="73A5D05B" w:rsidR="00FB1663" w:rsidRPr="00E51638" w:rsidRDefault="00FB1663" w:rsidP="00C84651">
            <w:pPr>
              <w:spacing w:before="0" w:after="0" w:line="240" w:lineRule="auto"/>
              <w:rPr>
                <w:sz w:val="26"/>
                <w:szCs w:val="26"/>
              </w:rPr>
            </w:pPr>
          </w:p>
        </w:tc>
        <w:tc>
          <w:tcPr>
            <w:tcW w:w="1081" w:type="dxa"/>
            <w:vAlign w:val="center"/>
          </w:tcPr>
          <w:p w14:paraId="18A65CBC" w14:textId="49647407" w:rsidR="00F57A5F" w:rsidRPr="00E51638" w:rsidRDefault="00FB1663" w:rsidP="00E51638">
            <w:pPr>
              <w:spacing w:before="0" w:after="0" w:line="240" w:lineRule="auto"/>
              <w:jc w:val="center"/>
              <w:rPr>
                <w:b/>
                <w:sz w:val="26"/>
                <w:szCs w:val="26"/>
              </w:rPr>
            </w:pPr>
            <w:r w:rsidRPr="00E51638">
              <w:rPr>
                <w:b/>
                <w:sz w:val="26"/>
                <w:szCs w:val="26"/>
              </w:rPr>
              <w:t>17</w:t>
            </w:r>
          </w:p>
        </w:tc>
      </w:tr>
      <w:tr w:rsidR="00F57A5F" w:rsidRPr="00E51638" w14:paraId="5DAC48C9" w14:textId="77777777" w:rsidTr="00FB1663">
        <w:trPr>
          <w:trHeight w:val="505"/>
        </w:trPr>
        <w:tc>
          <w:tcPr>
            <w:tcW w:w="704" w:type="dxa"/>
            <w:vAlign w:val="center"/>
          </w:tcPr>
          <w:p w14:paraId="5B5FB453" w14:textId="46A942B4" w:rsidR="00F57A5F" w:rsidRPr="00E51638" w:rsidRDefault="00F57A5F" w:rsidP="00C84651">
            <w:pPr>
              <w:spacing w:before="0" w:after="0" w:line="240" w:lineRule="auto"/>
              <w:jc w:val="center"/>
              <w:rPr>
                <w:b/>
                <w:bCs/>
                <w:sz w:val="26"/>
                <w:szCs w:val="26"/>
              </w:rPr>
            </w:pPr>
            <w:r w:rsidRPr="00E51638">
              <w:rPr>
                <w:b/>
                <w:bCs/>
                <w:sz w:val="26"/>
                <w:szCs w:val="26"/>
              </w:rPr>
              <w:t>II.</w:t>
            </w:r>
          </w:p>
        </w:tc>
        <w:tc>
          <w:tcPr>
            <w:tcW w:w="3686" w:type="dxa"/>
            <w:vAlign w:val="center"/>
          </w:tcPr>
          <w:p w14:paraId="0195B257" w14:textId="77777777" w:rsidR="00F57A5F" w:rsidRPr="00E51638" w:rsidRDefault="00F57A5F" w:rsidP="00C84651">
            <w:pPr>
              <w:spacing w:before="0" w:after="0" w:line="240" w:lineRule="auto"/>
              <w:rPr>
                <w:b/>
                <w:sz w:val="26"/>
                <w:szCs w:val="26"/>
              </w:rPr>
            </w:pPr>
            <w:r w:rsidRPr="00E51638">
              <w:rPr>
                <w:b/>
                <w:sz w:val="26"/>
                <w:szCs w:val="26"/>
              </w:rPr>
              <w:t>OPORTUNIDAD</w:t>
            </w:r>
          </w:p>
        </w:tc>
        <w:tc>
          <w:tcPr>
            <w:tcW w:w="3827" w:type="dxa"/>
          </w:tcPr>
          <w:p w14:paraId="4E3573BC" w14:textId="77777777" w:rsidR="00F57A5F" w:rsidRPr="00E51638" w:rsidRDefault="009E3A17" w:rsidP="00C84651">
            <w:pPr>
              <w:spacing w:before="0" w:after="0" w:line="240" w:lineRule="auto"/>
              <w:rPr>
                <w:sz w:val="26"/>
                <w:szCs w:val="26"/>
              </w:rPr>
            </w:pPr>
            <w:r w:rsidRPr="00E51638">
              <w:rPr>
                <w:sz w:val="26"/>
                <w:szCs w:val="26"/>
              </w:rPr>
              <w:t xml:space="preserve">Las demandas fueron presentadas </w:t>
            </w:r>
            <w:r w:rsidRPr="00E51638">
              <w:rPr>
                <w:b/>
                <w:bCs/>
                <w:sz w:val="26"/>
                <w:szCs w:val="26"/>
              </w:rPr>
              <w:t>oportunamente</w:t>
            </w:r>
            <w:r w:rsidR="00F752F8" w:rsidRPr="00E51638">
              <w:rPr>
                <w:sz w:val="26"/>
                <w:szCs w:val="26"/>
              </w:rPr>
              <w:t>.</w:t>
            </w:r>
            <w:r w:rsidR="00F57A5F" w:rsidRPr="00E51638">
              <w:rPr>
                <w:sz w:val="26"/>
                <w:szCs w:val="26"/>
              </w:rPr>
              <w:t xml:space="preserve"> </w:t>
            </w:r>
          </w:p>
          <w:p w14:paraId="66E77371" w14:textId="64E2070D" w:rsidR="00FB1663" w:rsidRPr="00E51638" w:rsidRDefault="00FB1663" w:rsidP="00C84651">
            <w:pPr>
              <w:spacing w:before="0" w:after="0" w:line="240" w:lineRule="auto"/>
              <w:rPr>
                <w:sz w:val="26"/>
                <w:szCs w:val="26"/>
              </w:rPr>
            </w:pPr>
          </w:p>
        </w:tc>
        <w:tc>
          <w:tcPr>
            <w:tcW w:w="1081" w:type="dxa"/>
            <w:vAlign w:val="center"/>
          </w:tcPr>
          <w:p w14:paraId="5844ACF6" w14:textId="5E9C4C21" w:rsidR="00FB1663" w:rsidRPr="00E51638" w:rsidRDefault="00FB1663" w:rsidP="00E51638">
            <w:pPr>
              <w:spacing w:before="0" w:after="0" w:line="240" w:lineRule="auto"/>
              <w:jc w:val="center"/>
              <w:rPr>
                <w:b/>
                <w:sz w:val="26"/>
                <w:szCs w:val="26"/>
              </w:rPr>
            </w:pPr>
            <w:r w:rsidRPr="00E51638">
              <w:rPr>
                <w:b/>
                <w:sz w:val="26"/>
                <w:szCs w:val="26"/>
              </w:rPr>
              <w:t>18</w:t>
            </w:r>
          </w:p>
        </w:tc>
      </w:tr>
      <w:tr w:rsidR="00F57A5F" w:rsidRPr="00E51638" w14:paraId="3600459C" w14:textId="77777777" w:rsidTr="00FB1663">
        <w:trPr>
          <w:trHeight w:val="555"/>
        </w:trPr>
        <w:tc>
          <w:tcPr>
            <w:tcW w:w="704" w:type="dxa"/>
            <w:vAlign w:val="center"/>
          </w:tcPr>
          <w:p w14:paraId="357124AE" w14:textId="67769D6F" w:rsidR="00F57A5F" w:rsidRPr="00E51638" w:rsidRDefault="00F57A5F" w:rsidP="00C84651">
            <w:pPr>
              <w:spacing w:before="0" w:after="0" w:line="240" w:lineRule="auto"/>
              <w:jc w:val="center"/>
              <w:rPr>
                <w:b/>
                <w:bCs/>
                <w:sz w:val="26"/>
                <w:szCs w:val="26"/>
              </w:rPr>
            </w:pPr>
            <w:r w:rsidRPr="00E51638">
              <w:rPr>
                <w:b/>
                <w:bCs/>
                <w:sz w:val="26"/>
                <w:szCs w:val="26"/>
              </w:rPr>
              <w:t>I</w:t>
            </w:r>
            <w:r w:rsidR="009E3A17" w:rsidRPr="00E51638">
              <w:rPr>
                <w:b/>
                <w:bCs/>
                <w:sz w:val="26"/>
                <w:szCs w:val="26"/>
              </w:rPr>
              <w:t>II</w:t>
            </w:r>
            <w:r w:rsidRPr="00E51638">
              <w:rPr>
                <w:b/>
                <w:bCs/>
                <w:sz w:val="26"/>
                <w:szCs w:val="26"/>
              </w:rPr>
              <w:t>.</w:t>
            </w:r>
          </w:p>
        </w:tc>
        <w:tc>
          <w:tcPr>
            <w:tcW w:w="3686" w:type="dxa"/>
            <w:vAlign w:val="center"/>
          </w:tcPr>
          <w:p w14:paraId="37944395" w14:textId="77777777" w:rsidR="009E3A17" w:rsidRPr="00E51638" w:rsidRDefault="009E3A17" w:rsidP="00C84651">
            <w:pPr>
              <w:spacing w:before="0" w:after="0" w:line="240" w:lineRule="auto"/>
              <w:rPr>
                <w:b/>
                <w:sz w:val="26"/>
                <w:szCs w:val="26"/>
              </w:rPr>
            </w:pPr>
          </w:p>
          <w:p w14:paraId="1914DE09" w14:textId="4DF18C89" w:rsidR="00F57A5F" w:rsidRPr="00E51638" w:rsidRDefault="00F57A5F" w:rsidP="00C84651">
            <w:pPr>
              <w:spacing w:before="0" w:after="0" w:line="240" w:lineRule="auto"/>
              <w:rPr>
                <w:b/>
                <w:sz w:val="26"/>
                <w:szCs w:val="26"/>
              </w:rPr>
            </w:pPr>
            <w:r w:rsidRPr="00E51638">
              <w:rPr>
                <w:b/>
                <w:sz w:val="26"/>
                <w:szCs w:val="26"/>
              </w:rPr>
              <w:t>LEGITIMACIÓN</w:t>
            </w:r>
          </w:p>
          <w:p w14:paraId="5096BA3D" w14:textId="77777777" w:rsidR="00F57A5F" w:rsidRPr="00E51638" w:rsidRDefault="00F57A5F" w:rsidP="00C84651">
            <w:pPr>
              <w:spacing w:before="0" w:after="0" w:line="240" w:lineRule="auto"/>
              <w:rPr>
                <w:b/>
                <w:sz w:val="26"/>
                <w:szCs w:val="26"/>
              </w:rPr>
            </w:pPr>
          </w:p>
        </w:tc>
        <w:tc>
          <w:tcPr>
            <w:tcW w:w="3827" w:type="dxa"/>
          </w:tcPr>
          <w:p w14:paraId="6ACD667F" w14:textId="77777777" w:rsidR="00F57A5F" w:rsidRPr="00E51638" w:rsidRDefault="009E3A17" w:rsidP="00C84651">
            <w:pPr>
              <w:spacing w:before="0" w:after="0" w:line="240" w:lineRule="auto"/>
              <w:rPr>
                <w:sz w:val="26"/>
                <w:szCs w:val="26"/>
              </w:rPr>
            </w:pPr>
            <w:r w:rsidRPr="00E51638">
              <w:rPr>
                <w:sz w:val="26"/>
                <w:szCs w:val="26"/>
              </w:rPr>
              <w:t xml:space="preserve">Las demandas fueron presentadas por partes </w:t>
            </w:r>
            <w:r w:rsidRPr="00E51638">
              <w:rPr>
                <w:b/>
                <w:bCs/>
                <w:sz w:val="26"/>
                <w:szCs w:val="26"/>
              </w:rPr>
              <w:t>legitimadas</w:t>
            </w:r>
            <w:r w:rsidR="00F57A5F" w:rsidRPr="00E51638">
              <w:rPr>
                <w:sz w:val="26"/>
                <w:szCs w:val="26"/>
              </w:rPr>
              <w:t>.</w:t>
            </w:r>
          </w:p>
          <w:p w14:paraId="41738E20" w14:textId="6BAD1A0D" w:rsidR="00FB1663" w:rsidRPr="00E51638" w:rsidRDefault="00FB1663" w:rsidP="00C84651">
            <w:pPr>
              <w:spacing w:before="0" w:after="0" w:line="240" w:lineRule="auto"/>
              <w:rPr>
                <w:sz w:val="26"/>
                <w:szCs w:val="26"/>
              </w:rPr>
            </w:pPr>
          </w:p>
        </w:tc>
        <w:tc>
          <w:tcPr>
            <w:tcW w:w="1081" w:type="dxa"/>
            <w:vAlign w:val="center"/>
          </w:tcPr>
          <w:p w14:paraId="092044E9" w14:textId="07DC04EC" w:rsidR="00FB1663" w:rsidRPr="00E51638" w:rsidRDefault="00FB1663" w:rsidP="00E51638">
            <w:pPr>
              <w:spacing w:before="0" w:after="0" w:line="240" w:lineRule="auto"/>
              <w:jc w:val="center"/>
              <w:rPr>
                <w:b/>
                <w:sz w:val="26"/>
                <w:szCs w:val="26"/>
              </w:rPr>
            </w:pPr>
            <w:r w:rsidRPr="00E51638">
              <w:rPr>
                <w:b/>
                <w:sz w:val="26"/>
                <w:szCs w:val="26"/>
              </w:rPr>
              <w:t>19</w:t>
            </w:r>
          </w:p>
        </w:tc>
      </w:tr>
      <w:tr w:rsidR="00F57A5F" w:rsidRPr="00E51638" w14:paraId="4825E37A" w14:textId="77777777" w:rsidTr="00FB1663">
        <w:trPr>
          <w:trHeight w:val="1010"/>
        </w:trPr>
        <w:tc>
          <w:tcPr>
            <w:tcW w:w="704" w:type="dxa"/>
            <w:vAlign w:val="center"/>
          </w:tcPr>
          <w:p w14:paraId="437B3688" w14:textId="4C829426" w:rsidR="00F57A5F" w:rsidRPr="00E51638" w:rsidRDefault="009E3A17" w:rsidP="00C84651">
            <w:pPr>
              <w:spacing w:line="240" w:lineRule="auto"/>
              <w:rPr>
                <w:b/>
                <w:bCs/>
                <w:sz w:val="26"/>
                <w:szCs w:val="26"/>
              </w:rPr>
            </w:pPr>
            <w:r w:rsidRPr="00E51638">
              <w:rPr>
                <w:b/>
                <w:bCs/>
                <w:sz w:val="26"/>
                <w:szCs w:val="26"/>
              </w:rPr>
              <w:t>I</w:t>
            </w:r>
            <w:r w:rsidR="00F57A5F" w:rsidRPr="00E51638">
              <w:rPr>
                <w:b/>
                <w:bCs/>
                <w:sz w:val="26"/>
                <w:szCs w:val="26"/>
              </w:rPr>
              <w:t>V.</w:t>
            </w:r>
          </w:p>
        </w:tc>
        <w:tc>
          <w:tcPr>
            <w:tcW w:w="3686" w:type="dxa"/>
            <w:vAlign w:val="center"/>
          </w:tcPr>
          <w:p w14:paraId="211BBC59" w14:textId="19244763" w:rsidR="00F57A5F" w:rsidRPr="00E51638" w:rsidRDefault="00F57A5F" w:rsidP="00C84651">
            <w:pPr>
              <w:spacing w:before="0" w:after="0" w:line="240" w:lineRule="auto"/>
              <w:rPr>
                <w:sz w:val="26"/>
                <w:szCs w:val="26"/>
              </w:rPr>
            </w:pPr>
            <w:r w:rsidRPr="00E51638">
              <w:rPr>
                <w:b/>
                <w:sz w:val="26"/>
                <w:szCs w:val="26"/>
              </w:rPr>
              <w:t>CAUSAS DE IMPROCEDENCIA Y SOBRESEIMIENTO</w:t>
            </w:r>
          </w:p>
        </w:tc>
        <w:tc>
          <w:tcPr>
            <w:tcW w:w="3827" w:type="dxa"/>
          </w:tcPr>
          <w:p w14:paraId="40155462" w14:textId="1EA242F8" w:rsidR="00FB1663" w:rsidRPr="00E51638" w:rsidRDefault="00F752F8" w:rsidP="00C84651">
            <w:pPr>
              <w:spacing w:line="240" w:lineRule="auto"/>
              <w:rPr>
                <w:sz w:val="26"/>
                <w:szCs w:val="26"/>
              </w:rPr>
            </w:pPr>
            <w:r w:rsidRPr="00E51638">
              <w:rPr>
                <w:sz w:val="26"/>
                <w:szCs w:val="26"/>
              </w:rPr>
              <w:t xml:space="preserve">Se </w:t>
            </w:r>
            <w:r w:rsidRPr="00E51638">
              <w:rPr>
                <w:b/>
                <w:bCs/>
                <w:sz w:val="26"/>
                <w:szCs w:val="26"/>
              </w:rPr>
              <w:t>desestima</w:t>
            </w:r>
            <w:r w:rsidRPr="00E51638">
              <w:rPr>
                <w:sz w:val="26"/>
                <w:szCs w:val="26"/>
              </w:rPr>
              <w:t xml:space="preserve"> la causal de improcedencia hecha valer por la Cámara de Diputados del Congreso de la Unión, en la que sostiene que el partido político no cuenta con legitimación para promover la acción, dado que la norma impugnada no tiene la naturaleza electoral.</w:t>
            </w:r>
          </w:p>
        </w:tc>
        <w:tc>
          <w:tcPr>
            <w:tcW w:w="1081" w:type="dxa"/>
            <w:vAlign w:val="center"/>
          </w:tcPr>
          <w:p w14:paraId="0D531A55" w14:textId="4FCD947F" w:rsidR="00FB1663" w:rsidRPr="00E51638" w:rsidRDefault="00FB1663" w:rsidP="00E51638">
            <w:pPr>
              <w:spacing w:line="240" w:lineRule="auto"/>
              <w:jc w:val="center"/>
              <w:rPr>
                <w:b/>
                <w:sz w:val="26"/>
                <w:szCs w:val="26"/>
              </w:rPr>
            </w:pPr>
            <w:r w:rsidRPr="00E51638">
              <w:rPr>
                <w:b/>
                <w:sz w:val="26"/>
                <w:szCs w:val="26"/>
              </w:rPr>
              <w:t>24</w:t>
            </w:r>
          </w:p>
        </w:tc>
      </w:tr>
      <w:tr w:rsidR="00F57A5F" w:rsidRPr="00E51638" w14:paraId="7B387BF8" w14:textId="77777777" w:rsidTr="00FB1663">
        <w:trPr>
          <w:trHeight w:val="882"/>
        </w:trPr>
        <w:tc>
          <w:tcPr>
            <w:tcW w:w="704" w:type="dxa"/>
            <w:vAlign w:val="center"/>
          </w:tcPr>
          <w:p w14:paraId="52EE5573" w14:textId="2500AD00" w:rsidR="00F57A5F" w:rsidRPr="00E51638" w:rsidRDefault="00F57A5F" w:rsidP="00C84651">
            <w:pPr>
              <w:spacing w:line="240" w:lineRule="auto"/>
              <w:rPr>
                <w:b/>
                <w:bCs/>
                <w:sz w:val="26"/>
                <w:szCs w:val="26"/>
              </w:rPr>
            </w:pPr>
            <w:r w:rsidRPr="00E51638">
              <w:rPr>
                <w:b/>
                <w:bCs/>
                <w:sz w:val="26"/>
                <w:szCs w:val="26"/>
              </w:rPr>
              <w:t>V.</w:t>
            </w:r>
          </w:p>
        </w:tc>
        <w:tc>
          <w:tcPr>
            <w:tcW w:w="3686" w:type="dxa"/>
            <w:vAlign w:val="center"/>
          </w:tcPr>
          <w:p w14:paraId="1C50F5B8" w14:textId="77777777" w:rsidR="00F57A5F" w:rsidRPr="00E51638" w:rsidRDefault="00F57A5F" w:rsidP="00C84651">
            <w:pPr>
              <w:spacing w:line="240" w:lineRule="auto"/>
              <w:rPr>
                <w:b/>
                <w:bCs/>
                <w:sz w:val="26"/>
                <w:szCs w:val="26"/>
              </w:rPr>
            </w:pPr>
            <w:r w:rsidRPr="00E51638">
              <w:rPr>
                <w:b/>
                <w:bCs/>
                <w:sz w:val="26"/>
                <w:szCs w:val="26"/>
              </w:rPr>
              <w:t>ESTUDIO DE FONDO</w:t>
            </w:r>
          </w:p>
          <w:p w14:paraId="68EF5E9F" w14:textId="25F9A308" w:rsidR="00F57A5F" w:rsidRPr="00E51638" w:rsidRDefault="00F57A5F" w:rsidP="00C84651">
            <w:pPr>
              <w:spacing w:line="240" w:lineRule="auto"/>
              <w:rPr>
                <w:b/>
                <w:sz w:val="26"/>
                <w:szCs w:val="26"/>
              </w:rPr>
            </w:pPr>
            <w:r w:rsidRPr="00E51638">
              <w:rPr>
                <w:b/>
                <w:sz w:val="26"/>
                <w:szCs w:val="26"/>
              </w:rPr>
              <w:t>V.1.</w:t>
            </w:r>
            <w:r w:rsidR="00F752F8" w:rsidRPr="00E51638">
              <w:rPr>
                <w:b/>
                <w:sz w:val="26"/>
                <w:szCs w:val="26"/>
              </w:rPr>
              <w:t xml:space="preserve"> </w:t>
            </w:r>
            <w:r w:rsidRPr="00E51638">
              <w:rPr>
                <w:b/>
                <w:sz w:val="26"/>
                <w:szCs w:val="26"/>
              </w:rPr>
              <w:t xml:space="preserve">Consideraciones </w:t>
            </w:r>
            <w:r w:rsidR="00F752F8" w:rsidRPr="00E51638">
              <w:rPr>
                <w:b/>
                <w:sz w:val="26"/>
                <w:szCs w:val="26"/>
              </w:rPr>
              <w:t>metodológicas</w:t>
            </w:r>
          </w:p>
          <w:p w14:paraId="420DDE3E" w14:textId="77777777" w:rsidR="00F57A5F" w:rsidRPr="00E51638" w:rsidRDefault="00F57A5F" w:rsidP="00C84651">
            <w:pPr>
              <w:spacing w:line="240" w:lineRule="auto"/>
              <w:rPr>
                <w:b/>
                <w:sz w:val="26"/>
                <w:szCs w:val="26"/>
              </w:rPr>
            </w:pPr>
          </w:p>
        </w:tc>
        <w:tc>
          <w:tcPr>
            <w:tcW w:w="3827" w:type="dxa"/>
          </w:tcPr>
          <w:p w14:paraId="74DD1F42" w14:textId="51EFD5B2" w:rsidR="00FB1663" w:rsidRPr="00E51638" w:rsidRDefault="00F752F8" w:rsidP="00C84651">
            <w:pPr>
              <w:spacing w:line="240" w:lineRule="auto"/>
              <w:rPr>
                <w:sz w:val="26"/>
                <w:szCs w:val="26"/>
              </w:rPr>
            </w:pPr>
            <w:r w:rsidRPr="00E51638">
              <w:rPr>
                <w:sz w:val="26"/>
                <w:szCs w:val="26"/>
              </w:rPr>
              <w:t>En este apartado se exponen los conceptos de invalidez hechos valer por las accionantes y se propone el orden en el que se estudiarán en los siguientes apartados.</w:t>
            </w:r>
          </w:p>
        </w:tc>
        <w:tc>
          <w:tcPr>
            <w:tcW w:w="1081" w:type="dxa"/>
            <w:vAlign w:val="center"/>
          </w:tcPr>
          <w:p w14:paraId="62052A66" w14:textId="0C08376D" w:rsidR="00F57A5F" w:rsidRPr="00E51638" w:rsidRDefault="00FB1663" w:rsidP="00E51638">
            <w:pPr>
              <w:spacing w:line="240" w:lineRule="auto"/>
              <w:jc w:val="center"/>
              <w:rPr>
                <w:b/>
                <w:sz w:val="26"/>
                <w:szCs w:val="26"/>
              </w:rPr>
            </w:pPr>
            <w:r w:rsidRPr="00E51638">
              <w:rPr>
                <w:b/>
                <w:sz w:val="26"/>
                <w:szCs w:val="26"/>
              </w:rPr>
              <w:t>29</w:t>
            </w:r>
          </w:p>
        </w:tc>
      </w:tr>
      <w:tr w:rsidR="00D64B20" w:rsidRPr="00E51638" w14:paraId="7C35CE18" w14:textId="77777777" w:rsidTr="00FB1663">
        <w:trPr>
          <w:trHeight w:val="882"/>
        </w:trPr>
        <w:tc>
          <w:tcPr>
            <w:tcW w:w="704" w:type="dxa"/>
            <w:vAlign w:val="center"/>
          </w:tcPr>
          <w:p w14:paraId="29B05FD6" w14:textId="77777777" w:rsidR="00D64B20" w:rsidRPr="00E51638" w:rsidRDefault="00D64B20" w:rsidP="00C84651">
            <w:pPr>
              <w:spacing w:line="240" w:lineRule="auto"/>
              <w:rPr>
                <w:b/>
                <w:bCs/>
                <w:sz w:val="26"/>
                <w:szCs w:val="26"/>
              </w:rPr>
            </w:pPr>
          </w:p>
        </w:tc>
        <w:tc>
          <w:tcPr>
            <w:tcW w:w="3686" w:type="dxa"/>
            <w:vAlign w:val="center"/>
          </w:tcPr>
          <w:p w14:paraId="6E594BAA" w14:textId="74EB97B5" w:rsidR="00D64B20" w:rsidRPr="00E51638" w:rsidRDefault="004848D4" w:rsidP="00C84651">
            <w:pPr>
              <w:spacing w:line="240" w:lineRule="auto"/>
              <w:rPr>
                <w:b/>
                <w:bCs/>
                <w:sz w:val="26"/>
                <w:szCs w:val="26"/>
              </w:rPr>
            </w:pPr>
            <w:r w:rsidRPr="00E51638">
              <w:rPr>
                <w:b/>
                <w:bCs/>
                <w:sz w:val="26"/>
                <w:szCs w:val="26"/>
              </w:rPr>
              <w:t>V.2. Marco jurídico normativo</w:t>
            </w:r>
          </w:p>
        </w:tc>
        <w:tc>
          <w:tcPr>
            <w:tcW w:w="3827" w:type="dxa"/>
          </w:tcPr>
          <w:p w14:paraId="60EDF439" w14:textId="77777777" w:rsidR="00D64B20" w:rsidRPr="00E51638" w:rsidRDefault="004848D4" w:rsidP="00C84651">
            <w:pPr>
              <w:spacing w:line="240" w:lineRule="auto"/>
              <w:rPr>
                <w:sz w:val="26"/>
                <w:szCs w:val="26"/>
              </w:rPr>
            </w:pPr>
            <w:r w:rsidRPr="00E51638">
              <w:rPr>
                <w:sz w:val="26"/>
                <w:szCs w:val="26"/>
              </w:rPr>
              <w:t>Se determina el parámetro de validez relacionado con el derecho de tutela jurisdiccional del derecho de acceso y desempeño de la función parlamentaria.</w:t>
            </w:r>
          </w:p>
          <w:p w14:paraId="72B89810" w14:textId="0A119E2E" w:rsidR="004848D4" w:rsidRPr="00E51638" w:rsidRDefault="004848D4" w:rsidP="00C84651">
            <w:pPr>
              <w:spacing w:line="240" w:lineRule="auto"/>
              <w:rPr>
                <w:sz w:val="26"/>
                <w:szCs w:val="26"/>
              </w:rPr>
            </w:pPr>
          </w:p>
        </w:tc>
        <w:tc>
          <w:tcPr>
            <w:tcW w:w="1081" w:type="dxa"/>
            <w:vAlign w:val="center"/>
          </w:tcPr>
          <w:p w14:paraId="2EAE9FD1" w14:textId="5FAF1B27" w:rsidR="00D64B20" w:rsidRPr="00E51638" w:rsidRDefault="004848D4" w:rsidP="00E51638">
            <w:pPr>
              <w:spacing w:line="240" w:lineRule="auto"/>
              <w:jc w:val="center"/>
              <w:rPr>
                <w:b/>
                <w:sz w:val="26"/>
                <w:szCs w:val="26"/>
              </w:rPr>
            </w:pPr>
            <w:r w:rsidRPr="00E51638">
              <w:rPr>
                <w:b/>
                <w:sz w:val="26"/>
                <w:szCs w:val="26"/>
              </w:rPr>
              <w:t>3</w:t>
            </w:r>
            <w:r w:rsidR="00DF7F72">
              <w:rPr>
                <w:b/>
                <w:sz w:val="26"/>
                <w:szCs w:val="26"/>
              </w:rPr>
              <w:t>0</w:t>
            </w:r>
          </w:p>
        </w:tc>
      </w:tr>
      <w:tr w:rsidR="00F57A5F" w:rsidRPr="00E51638" w14:paraId="162E6A7D" w14:textId="77777777" w:rsidTr="00FB1663">
        <w:trPr>
          <w:trHeight w:val="882"/>
        </w:trPr>
        <w:tc>
          <w:tcPr>
            <w:tcW w:w="704" w:type="dxa"/>
            <w:vAlign w:val="center"/>
          </w:tcPr>
          <w:p w14:paraId="40F8CF08" w14:textId="77777777" w:rsidR="00F57A5F" w:rsidRPr="00E51638" w:rsidRDefault="00F57A5F" w:rsidP="00C84651">
            <w:pPr>
              <w:spacing w:before="0" w:after="0" w:line="240" w:lineRule="auto"/>
              <w:jc w:val="center"/>
              <w:rPr>
                <w:b/>
                <w:bCs/>
                <w:sz w:val="26"/>
                <w:szCs w:val="26"/>
              </w:rPr>
            </w:pPr>
          </w:p>
        </w:tc>
        <w:tc>
          <w:tcPr>
            <w:tcW w:w="3686" w:type="dxa"/>
            <w:vAlign w:val="center"/>
          </w:tcPr>
          <w:p w14:paraId="242B3C27" w14:textId="7407A963" w:rsidR="00F57A5F" w:rsidRPr="00E51638" w:rsidRDefault="00F57A5F" w:rsidP="00C84651">
            <w:pPr>
              <w:pStyle w:val="Prrafo"/>
              <w:spacing w:before="0" w:after="0" w:line="240" w:lineRule="auto"/>
              <w:rPr>
                <w:b/>
              </w:rPr>
            </w:pPr>
            <w:r w:rsidRPr="00E51638">
              <w:rPr>
                <w:b/>
              </w:rPr>
              <w:t>V.</w:t>
            </w:r>
            <w:r w:rsidR="004848D4" w:rsidRPr="00E51638">
              <w:rPr>
                <w:b/>
              </w:rPr>
              <w:t>3</w:t>
            </w:r>
            <w:r w:rsidRPr="00E51638">
              <w:rPr>
                <w:b/>
              </w:rPr>
              <w:t>.</w:t>
            </w:r>
            <w:r w:rsidR="00CC04EC" w:rsidRPr="00E51638">
              <w:rPr>
                <w:b/>
              </w:rPr>
              <w:t xml:space="preserve"> </w:t>
            </w:r>
            <w:r w:rsidR="00CC04EC" w:rsidRPr="00E51638">
              <w:rPr>
                <w:b/>
                <w:bCs/>
              </w:rPr>
              <w:t>Violación del derecho de tutela judicial efectiva y del orden democrático mexicano. Ausencia de un recurso efectivo para proteger el derecho político-electoral de ser votado, en su vertiente de acceso y desempeño del cargo.</w:t>
            </w:r>
          </w:p>
          <w:p w14:paraId="29AF5A45" w14:textId="77777777" w:rsidR="00F57A5F" w:rsidRPr="00E51638" w:rsidRDefault="00F57A5F" w:rsidP="00C84651">
            <w:pPr>
              <w:pStyle w:val="Ttulo3"/>
              <w:numPr>
                <w:ilvl w:val="0"/>
                <w:numId w:val="0"/>
              </w:numPr>
              <w:spacing w:before="0" w:after="0" w:line="240" w:lineRule="auto"/>
              <w:ind w:left="63"/>
              <w:jc w:val="both"/>
              <w:outlineLvl w:val="2"/>
            </w:pPr>
          </w:p>
        </w:tc>
        <w:tc>
          <w:tcPr>
            <w:tcW w:w="3827" w:type="dxa"/>
          </w:tcPr>
          <w:p w14:paraId="1BEED6E4" w14:textId="3E825D55" w:rsidR="00FB1663" w:rsidRPr="00E51638" w:rsidRDefault="00FB1663" w:rsidP="00C84651">
            <w:pPr>
              <w:spacing w:before="0" w:after="0" w:line="240" w:lineRule="auto"/>
              <w:rPr>
                <w:sz w:val="26"/>
                <w:szCs w:val="26"/>
                <w:lang w:val="es-ES_tradnl"/>
              </w:rPr>
            </w:pPr>
            <w:r w:rsidRPr="00E51638">
              <w:rPr>
                <w:sz w:val="26"/>
                <w:szCs w:val="26"/>
                <w:lang w:val="es-ES_tradnl"/>
              </w:rPr>
              <w:t xml:space="preserve">Se considera que los conceptos de invalidez hechos valer son </w:t>
            </w:r>
            <w:r w:rsidRPr="00E51638">
              <w:rPr>
                <w:b/>
                <w:bCs/>
                <w:sz w:val="26"/>
                <w:szCs w:val="26"/>
                <w:lang w:val="es-ES_tradnl"/>
              </w:rPr>
              <w:t>fundados</w:t>
            </w:r>
            <w:r w:rsidRPr="00E51638">
              <w:rPr>
                <w:sz w:val="26"/>
                <w:szCs w:val="26"/>
                <w:lang w:val="es-ES_tradnl"/>
              </w:rPr>
              <w:t xml:space="preserve"> y, por tanto, </w:t>
            </w:r>
            <w:r w:rsidRPr="00E51638">
              <w:rPr>
                <w:b/>
                <w:bCs/>
                <w:sz w:val="26"/>
                <w:szCs w:val="26"/>
                <w:u w:val="single"/>
                <w:lang w:val="es-ES_tradnl"/>
              </w:rPr>
              <w:t>la norma impugnada es inconstitucional</w:t>
            </w:r>
            <w:r w:rsidRPr="00E51638">
              <w:rPr>
                <w:sz w:val="26"/>
                <w:szCs w:val="26"/>
                <w:lang w:val="es-ES_tradnl"/>
              </w:rPr>
              <w:t xml:space="preserve"> por vulnerar el derecho de tutela judicial efectiva y el orden democrático mexicano, ya que la norma contiene una prohibición que impide al Tribunal Electoral del Poder Judicial de la Federación (y a cualquier otra autoridad jurisdiccional) ejercer su función de proteger los derechos político-electorales de los parlamentarios a desempeñar su cargo.</w:t>
            </w:r>
          </w:p>
          <w:p w14:paraId="07D117B5" w14:textId="7B871DF8" w:rsidR="00CC04EC" w:rsidRPr="00E51638" w:rsidRDefault="00CC04EC" w:rsidP="00C84651">
            <w:pPr>
              <w:spacing w:before="0" w:after="0" w:line="240" w:lineRule="auto"/>
              <w:rPr>
                <w:sz w:val="26"/>
                <w:szCs w:val="26"/>
              </w:rPr>
            </w:pPr>
          </w:p>
          <w:p w14:paraId="67EE150A" w14:textId="63C9DD11" w:rsidR="00F57A5F" w:rsidRPr="00E51638" w:rsidRDefault="00CC04EC" w:rsidP="00C84651">
            <w:pPr>
              <w:spacing w:before="0" w:after="0" w:line="240" w:lineRule="auto"/>
              <w:rPr>
                <w:sz w:val="26"/>
                <w:szCs w:val="26"/>
              </w:rPr>
            </w:pPr>
            <w:r w:rsidRPr="00E51638">
              <w:rPr>
                <w:sz w:val="26"/>
                <w:szCs w:val="26"/>
              </w:rPr>
              <w:t xml:space="preserve">Se </w:t>
            </w:r>
            <w:r w:rsidRPr="00E51638">
              <w:rPr>
                <w:b/>
                <w:bCs/>
                <w:sz w:val="26"/>
                <w:szCs w:val="26"/>
                <w:u w:val="single"/>
              </w:rPr>
              <w:t>declara la invalidez</w:t>
            </w:r>
            <w:r w:rsidRPr="00E51638">
              <w:rPr>
                <w:sz w:val="26"/>
                <w:szCs w:val="26"/>
              </w:rPr>
              <w:t xml:space="preserve"> del inciso h) del numeral 1 del artículo 10 de la Ley General del Sistemas de Medios de Impugnación en Materia Electoral.</w:t>
            </w:r>
          </w:p>
          <w:p w14:paraId="0F80D0EC" w14:textId="7EC85EE9" w:rsidR="00FB1663" w:rsidRPr="00E51638" w:rsidRDefault="00FB1663" w:rsidP="00C84651">
            <w:pPr>
              <w:spacing w:before="0" w:after="0" w:line="240" w:lineRule="auto"/>
              <w:rPr>
                <w:sz w:val="26"/>
                <w:szCs w:val="26"/>
              </w:rPr>
            </w:pPr>
          </w:p>
        </w:tc>
        <w:tc>
          <w:tcPr>
            <w:tcW w:w="1081" w:type="dxa"/>
            <w:vAlign w:val="center"/>
          </w:tcPr>
          <w:p w14:paraId="5BDBB151" w14:textId="524BA487" w:rsidR="00F57A5F" w:rsidRPr="00E51638" w:rsidRDefault="004848D4" w:rsidP="00E51638">
            <w:pPr>
              <w:spacing w:before="0" w:after="0" w:line="240" w:lineRule="auto"/>
              <w:jc w:val="center"/>
              <w:rPr>
                <w:b/>
                <w:sz w:val="26"/>
                <w:szCs w:val="26"/>
              </w:rPr>
            </w:pPr>
            <w:r w:rsidRPr="00E51638">
              <w:rPr>
                <w:b/>
                <w:sz w:val="26"/>
                <w:szCs w:val="26"/>
              </w:rPr>
              <w:t>6</w:t>
            </w:r>
            <w:r w:rsidR="00D26C0E">
              <w:rPr>
                <w:b/>
                <w:sz w:val="26"/>
                <w:szCs w:val="26"/>
              </w:rPr>
              <w:t>4</w:t>
            </w:r>
          </w:p>
        </w:tc>
      </w:tr>
      <w:tr w:rsidR="00F57A5F" w:rsidRPr="00E51638" w14:paraId="2F3E5C16" w14:textId="77777777" w:rsidTr="00FB1663">
        <w:trPr>
          <w:trHeight w:val="882"/>
        </w:trPr>
        <w:tc>
          <w:tcPr>
            <w:tcW w:w="704" w:type="dxa"/>
            <w:vAlign w:val="center"/>
          </w:tcPr>
          <w:p w14:paraId="4A847787" w14:textId="3D4A6BC1" w:rsidR="00F57A5F" w:rsidRPr="00E51638" w:rsidRDefault="00F57A5F" w:rsidP="00C84651">
            <w:pPr>
              <w:spacing w:line="240" w:lineRule="auto"/>
              <w:rPr>
                <w:b/>
                <w:bCs/>
                <w:sz w:val="26"/>
                <w:szCs w:val="26"/>
              </w:rPr>
            </w:pPr>
            <w:r w:rsidRPr="00E51638">
              <w:rPr>
                <w:b/>
                <w:bCs/>
                <w:sz w:val="26"/>
                <w:szCs w:val="26"/>
              </w:rPr>
              <w:t>VI.</w:t>
            </w:r>
          </w:p>
        </w:tc>
        <w:tc>
          <w:tcPr>
            <w:tcW w:w="3686" w:type="dxa"/>
            <w:vAlign w:val="center"/>
          </w:tcPr>
          <w:p w14:paraId="56EA465D" w14:textId="77777777" w:rsidR="00F57A5F" w:rsidRPr="00E51638" w:rsidRDefault="00F57A5F" w:rsidP="00C84651">
            <w:pPr>
              <w:spacing w:line="240" w:lineRule="auto"/>
              <w:rPr>
                <w:b/>
                <w:bCs/>
                <w:sz w:val="26"/>
                <w:szCs w:val="26"/>
              </w:rPr>
            </w:pPr>
            <w:r w:rsidRPr="00E51638">
              <w:rPr>
                <w:b/>
                <w:bCs/>
                <w:sz w:val="26"/>
                <w:szCs w:val="26"/>
              </w:rPr>
              <w:t>EFECTOS</w:t>
            </w:r>
          </w:p>
          <w:p w14:paraId="749A5332" w14:textId="77777777" w:rsidR="00F57A5F" w:rsidRPr="00E51638" w:rsidRDefault="00F57A5F" w:rsidP="00C84651">
            <w:pPr>
              <w:spacing w:line="240" w:lineRule="auto"/>
              <w:rPr>
                <w:b/>
                <w:sz w:val="26"/>
                <w:szCs w:val="26"/>
              </w:rPr>
            </w:pPr>
            <w:r w:rsidRPr="00E51638">
              <w:rPr>
                <w:b/>
                <w:bCs/>
                <w:sz w:val="26"/>
                <w:szCs w:val="26"/>
              </w:rPr>
              <w:t>Declaratoria de invalidez</w:t>
            </w:r>
          </w:p>
        </w:tc>
        <w:tc>
          <w:tcPr>
            <w:tcW w:w="3827" w:type="dxa"/>
          </w:tcPr>
          <w:p w14:paraId="5F769734" w14:textId="77777777" w:rsidR="00F57A5F" w:rsidRPr="00E51638" w:rsidRDefault="00F57A5F" w:rsidP="00C84651">
            <w:pPr>
              <w:spacing w:line="240" w:lineRule="auto"/>
              <w:rPr>
                <w:sz w:val="26"/>
                <w:szCs w:val="26"/>
              </w:rPr>
            </w:pPr>
            <w:r w:rsidRPr="00E51638">
              <w:rPr>
                <w:sz w:val="26"/>
                <w:szCs w:val="26"/>
              </w:rPr>
              <w:t xml:space="preserve">Se precisan las disposiciones invalidadas. </w:t>
            </w:r>
          </w:p>
        </w:tc>
        <w:tc>
          <w:tcPr>
            <w:tcW w:w="1081" w:type="dxa"/>
            <w:vAlign w:val="center"/>
          </w:tcPr>
          <w:p w14:paraId="63939169" w14:textId="302CDD14" w:rsidR="00F57A5F" w:rsidRPr="00E51638" w:rsidRDefault="005B4595" w:rsidP="00E51638">
            <w:pPr>
              <w:spacing w:line="240" w:lineRule="auto"/>
              <w:jc w:val="center"/>
              <w:rPr>
                <w:b/>
                <w:sz w:val="26"/>
                <w:szCs w:val="26"/>
              </w:rPr>
            </w:pPr>
            <w:r w:rsidRPr="00E51638">
              <w:rPr>
                <w:b/>
                <w:sz w:val="26"/>
                <w:szCs w:val="26"/>
              </w:rPr>
              <w:t>7</w:t>
            </w:r>
            <w:r w:rsidR="00D26C0E">
              <w:rPr>
                <w:b/>
                <w:sz w:val="26"/>
                <w:szCs w:val="26"/>
              </w:rPr>
              <w:t>8</w:t>
            </w:r>
          </w:p>
        </w:tc>
      </w:tr>
      <w:tr w:rsidR="00F57A5F" w:rsidRPr="00E51638" w14:paraId="592F9817" w14:textId="77777777" w:rsidTr="00FB1663">
        <w:trPr>
          <w:trHeight w:val="882"/>
        </w:trPr>
        <w:tc>
          <w:tcPr>
            <w:tcW w:w="704" w:type="dxa"/>
            <w:vAlign w:val="center"/>
          </w:tcPr>
          <w:p w14:paraId="4403F3C6" w14:textId="77777777" w:rsidR="00F57A5F" w:rsidRPr="00E51638" w:rsidRDefault="00F57A5F" w:rsidP="00C84651">
            <w:pPr>
              <w:spacing w:before="0" w:after="0" w:line="240" w:lineRule="auto"/>
              <w:jc w:val="center"/>
              <w:rPr>
                <w:b/>
                <w:bCs/>
                <w:sz w:val="26"/>
                <w:szCs w:val="26"/>
              </w:rPr>
            </w:pPr>
          </w:p>
        </w:tc>
        <w:tc>
          <w:tcPr>
            <w:tcW w:w="3686" w:type="dxa"/>
            <w:vAlign w:val="center"/>
          </w:tcPr>
          <w:p w14:paraId="66ABC892" w14:textId="77777777" w:rsidR="00F57A5F" w:rsidRPr="00E51638" w:rsidRDefault="00F57A5F" w:rsidP="00C84651">
            <w:pPr>
              <w:pStyle w:val="Prrafo"/>
              <w:numPr>
                <w:ilvl w:val="0"/>
                <w:numId w:val="2"/>
              </w:numPr>
              <w:spacing w:before="0" w:after="0" w:line="240" w:lineRule="auto"/>
              <w:ind w:left="0" w:hanging="567"/>
              <w:rPr>
                <w:b/>
              </w:rPr>
            </w:pPr>
            <w:r w:rsidRPr="00E51638">
              <w:rPr>
                <w:b/>
              </w:rPr>
              <w:t>Fecha a partir de la que surte efectos la declaratoria general de invalidez</w:t>
            </w:r>
          </w:p>
        </w:tc>
        <w:tc>
          <w:tcPr>
            <w:tcW w:w="3827" w:type="dxa"/>
          </w:tcPr>
          <w:p w14:paraId="673A7A7A" w14:textId="78E5F0F1" w:rsidR="00FB1663" w:rsidRPr="00E51638" w:rsidRDefault="00F57A5F" w:rsidP="00C84651">
            <w:pPr>
              <w:spacing w:before="0" w:after="0" w:line="240" w:lineRule="auto"/>
              <w:rPr>
                <w:sz w:val="26"/>
                <w:szCs w:val="26"/>
              </w:rPr>
            </w:pPr>
            <w:r w:rsidRPr="00E51638">
              <w:rPr>
                <w:sz w:val="26"/>
                <w:szCs w:val="26"/>
              </w:rPr>
              <w:t xml:space="preserve">La declaratoria de invalidez </w:t>
            </w:r>
            <w:r w:rsidRPr="00E51638">
              <w:rPr>
                <w:b/>
                <w:bCs/>
                <w:sz w:val="26"/>
                <w:szCs w:val="26"/>
              </w:rPr>
              <w:t>surtirá sus efectos</w:t>
            </w:r>
            <w:r w:rsidRPr="00E51638">
              <w:rPr>
                <w:sz w:val="26"/>
                <w:szCs w:val="26"/>
              </w:rPr>
              <w:t xml:space="preserve"> </w:t>
            </w:r>
            <w:r w:rsidR="00F752F8" w:rsidRPr="00E51638">
              <w:rPr>
                <w:sz w:val="26"/>
                <w:szCs w:val="26"/>
              </w:rPr>
              <w:t>a partir de la notificación de los puntos resolutivos de esta sentencia al Congreso de la Unión.</w:t>
            </w:r>
          </w:p>
        </w:tc>
        <w:tc>
          <w:tcPr>
            <w:tcW w:w="1081" w:type="dxa"/>
            <w:vAlign w:val="center"/>
          </w:tcPr>
          <w:p w14:paraId="49799AAC" w14:textId="47E4EAE7" w:rsidR="00F57A5F" w:rsidRPr="00E51638" w:rsidRDefault="00D26C0E" w:rsidP="00E51638">
            <w:pPr>
              <w:spacing w:before="0" w:after="0" w:line="240" w:lineRule="auto"/>
              <w:jc w:val="center"/>
              <w:rPr>
                <w:b/>
                <w:sz w:val="26"/>
                <w:szCs w:val="26"/>
              </w:rPr>
            </w:pPr>
            <w:r>
              <w:rPr>
                <w:b/>
                <w:sz w:val="26"/>
                <w:szCs w:val="26"/>
              </w:rPr>
              <w:t>7</w:t>
            </w:r>
            <w:r w:rsidR="00DF7F72">
              <w:rPr>
                <w:b/>
                <w:sz w:val="26"/>
                <w:szCs w:val="26"/>
              </w:rPr>
              <w:t>9</w:t>
            </w:r>
          </w:p>
        </w:tc>
      </w:tr>
      <w:tr w:rsidR="00F57A5F" w:rsidRPr="00E51638" w14:paraId="2C0A5F83" w14:textId="77777777" w:rsidTr="00FB1663">
        <w:trPr>
          <w:trHeight w:val="882"/>
        </w:trPr>
        <w:tc>
          <w:tcPr>
            <w:tcW w:w="704" w:type="dxa"/>
            <w:vAlign w:val="center"/>
          </w:tcPr>
          <w:p w14:paraId="11EAA1DF" w14:textId="77777777" w:rsidR="00F57A5F" w:rsidRPr="00E51638" w:rsidRDefault="00F57A5F" w:rsidP="00C84651">
            <w:pPr>
              <w:spacing w:before="0" w:after="0" w:line="240" w:lineRule="auto"/>
              <w:jc w:val="center"/>
              <w:rPr>
                <w:b/>
                <w:bCs/>
                <w:sz w:val="26"/>
                <w:szCs w:val="26"/>
              </w:rPr>
            </w:pPr>
          </w:p>
        </w:tc>
        <w:tc>
          <w:tcPr>
            <w:tcW w:w="3686" w:type="dxa"/>
            <w:vAlign w:val="center"/>
          </w:tcPr>
          <w:p w14:paraId="7150909F" w14:textId="77777777" w:rsidR="00F57A5F" w:rsidRPr="00E51638" w:rsidRDefault="00F57A5F" w:rsidP="00C84651">
            <w:pPr>
              <w:pStyle w:val="Prrafo"/>
              <w:numPr>
                <w:ilvl w:val="0"/>
                <w:numId w:val="2"/>
              </w:numPr>
              <w:spacing w:before="0" w:after="0" w:line="240" w:lineRule="auto"/>
              <w:ind w:left="0" w:hanging="567"/>
              <w:rPr>
                <w:b/>
              </w:rPr>
            </w:pPr>
            <w:r w:rsidRPr="00E51638">
              <w:rPr>
                <w:b/>
              </w:rPr>
              <w:t>Notificaciones</w:t>
            </w:r>
          </w:p>
        </w:tc>
        <w:tc>
          <w:tcPr>
            <w:tcW w:w="3827" w:type="dxa"/>
          </w:tcPr>
          <w:p w14:paraId="1D130C37" w14:textId="77777777" w:rsidR="005E3588" w:rsidRPr="00E51638" w:rsidRDefault="005E3588" w:rsidP="00C84651">
            <w:pPr>
              <w:spacing w:before="0" w:after="0" w:line="240" w:lineRule="auto"/>
              <w:rPr>
                <w:sz w:val="26"/>
                <w:szCs w:val="26"/>
              </w:rPr>
            </w:pPr>
            <w:r w:rsidRPr="00E51638">
              <w:rPr>
                <w:sz w:val="26"/>
                <w:szCs w:val="26"/>
              </w:rPr>
              <w:t xml:space="preserve">Para el eficaz cumplimiento de esta sentencia, además del Congreso de la Unión y las </w:t>
            </w:r>
            <w:r w:rsidRPr="00E51638">
              <w:rPr>
                <w:sz w:val="26"/>
                <w:szCs w:val="26"/>
              </w:rPr>
              <w:lastRenderedPageBreak/>
              <w:t>Partes, también deberá notificarse a la Sala Superior del Tribunal Electoral del Poder Judicial de la Federación.</w:t>
            </w:r>
          </w:p>
          <w:p w14:paraId="3AC90ED6" w14:textId="55F1172D" w:rsidR="00FB1663" w:rsidRPr="00E51638" w:rsidRDefault="00FB1663" w:rsidP="00C84651">
            <w:pPr>
              <w:spacing w:before="0" w:after="0" w:line="240" w:lineRule="auto"/>
              <w:rPr>
                <w:sz w:val="26"/>
                <w:szCs w:val="26"/>
              </w:rPr>
            </w:pPr>
          </w:p>
        </w:tc>
        <w:tc>
          <w:tcPr>
            <w:tcW w:w="1081" w:type="dxa"/>
            <w:vAlign w:val="center"/>
          </w:tcPr>
          <w:p w14:paraId="4E4AF0F2" w14:textId="33C1269C" w:rsidR="00F57A5F" w:rsidRPr="00E51638" w:rsidRDefault="00D26C0E" w:rsidP="00E51638">
            <w:pPr>
              <w:spacing w:before="0" w:after="0" w:line="240" w:lineRule="auto"/>
              <w:jc w:val="center"/>
              <w:rPr>
                <w:b/>
                <w:sz w:val="26"/>
                <w:szCs w:val="26"/>
              </w:rPr>
            </w:pPr>
            <w:r>
              <w:rPr>
                <w:b/>
                <w:sz w:val="26"/>
                <w:szCs w:val="26"/>
              </w:rPr>
              <w:lastRenderedPageBreak/>
              <w:t>79</w:t>
            </w:r>
          </w:p>
        </w:tc>
      </w:tr>
      <w:tr w:rsidR="00F57A5F" w:rsidRPr="00E51638" w14:paraId="14D99D83" w14:textId="77777777" w:rsidTr="00FB1663">
        <w:trPr>
          <w:trHeight w:val="882"/>
        </w:trPr>
        <w:tc>
          <w:tcPr>
            <w:tcW w:w="704" w:type="dxa"/>
            <w:vAlign w:val="center"/>
          </w:tcPr>
          <w:p w14:paraId="24FEF823" w14:textId="6B14972A" w:rsidR="00F57A5F" w:rsidRPr="00E51638" w:rsidRDefault="00F57A5F" w:rsidP="00C84651">
            <w:pPr>
              <w:spacing w:line="240" w:lineRule="auto"/>
              <w:rPr>
                <w:b/>
                <w:bCs/>
                <w:sz w:val="26"/>
                <w:szCs w:val="26"/>
              </w:rPr>
            </w:pPr>
            <w:r w:rsidRPr="00E51638">
              <w:rPr>
                <w:b/>
                <w:bCs/>
                <w:sz w:val="26"/>
                <w:szCs w:val="26"/>
              </w:rPr>
              <w:t>VII.</w:t>
            </w:r>
          </w:p>
        </w:tc>
        <w:tc>
          <w:tcPr>
            <w:tcW w:w="3686" w:type="dxa"/>
            <w:vAlign w:val="center"/>
          </w:tcPr>
          <w:p w14:paraId="64821E7F" w14:textId="77777777" w:rsidR="00F57A5F" w:rsidRPr="00E51638" w:rsidRDefault="00F57A5F" w:rsidP="00C84651">
            <w:pPr>
              <w:spacing w:line="240" w:lineRule="auto"/>
              <w:rPr>
                <w:b/>
                <w:bCs/>
                <w:sz w:val="26"/>
                <w:szCs w:val="26"/>
              </w:rPr>
            </w:pPr>
            <w:r w:rsidRPr="00E51638">
              <w:rPr>
                <w:b/>
                <w:bCs/>
                <w:sz w:val="26"/>
                <w:szCs w:val="26"/>
              </w:rPr>
              <w:t>DECISIÓN</w:t>
            </w:r>
          </w:p>
        </w:tc>
        <w:tc>
          <w:tcPr>
            <w:tcW w:w="3827" w:type="dxa"/>
          </w:tcPr>
          <w:p w14:paraId="58E03195" w14:textId="2BDB0FA6" w:rsidR="005B4595" w:rsidRPr="00E51638" w:rsidRDefault="005B4595" w:rsidP="00C84651">
            <w:pPr>
              <w:spacing w:line="240" w:lineRule="auto"/>
              <w:rPr>
                <w:sz w:val="26"/>
                <w:szCs w:val="26"/>
                <w:lang w:val="es-ES"/>
              </w:rPr>
            </w:pPr>
            <w:r w:rsidRPr="00E51638">
              <w:rPr>
                <w:b/>
                <w:sz w:val="26"/>
                <w:szCs w:val="26"/>
              </w:rPr>
              <w:t>PRIMERO.</w:t>
            </w:r>
            <w:r w:rsidRPr="00E51638">
              <w:rPr>
                <w:sz w:val="26"/>
                <w:szCs w:val="26"/>
                <w:lang w:val="es-ES"/>
              </w:rPr>
              <w:t xml:space="preserve"> Es </w:t>
            </w:r>
            <w:r w:rsidRPr="00E51638">
              <w:rPr>
                <w:b/>
                <w:bCs/>
                <w:sz w:val="26"/>
                <w:szCs w:val="26"/>
                <w:lang w:val="es-ES"/>
              </w:rPr>
              <w:t>procedente y fundada</w:t>
            </w:r>
            <w:r w:rsidRPr="00E51638">
              <w:rPr>
                <w:sz w:val="26"/>
                <w:szCs w:val="26"/>
                <w:lang w:val="es-ES"/>
              </w:rPr>
              <w:t xml:space="preserve"> la presente acción de inconstitucionalidad y su acumulada. </w:t>
            </w:r>
          </w:p>
          <w:p w14:paraId="0DF42A13" w14:textId="77777777" w:rsidR="005B4595" w:rsidRPr="00E51638" w:rsidRDefault="005B4595" w:rsidP="00C84651">
            <w:pPr>
              <w:spacing w:line="240" w:lineRule="auto"/>
              <w:rPr>
                <w:sz w:val="26"/>
                <w:szCs w:val="26"/>
                <w:lang w:val="es-ES"/>
              </w:rPr>
            </w:pPr>
          </w:p>
          <w:p w14:paraId="497D2D02" w14:textId="77777777" w:rsidR="005B4595" w:rsidRPr="00E51638" w:rsidRDefault="005B4595" w:rsidP="00C84651">
            <w:pPr>
              <w:spacing w:line="240" w:lineRule="auto"/>
              <w:rPr>
                <w:sz w:val="26"/>
                <w:szCs w:val="26"/>
                <w:lang w:val="es-ES"/>
              </w:rPr>
            </w:pPr>
            <w:r w:rsidRPr="00E51638">
              <w:rPr>
                <w:b/>
                <w:bCs/>
                <w:sz w:val="26"/>
                <w:szCs w:val="26"/>
                <w:lang w:val="es-ES"/>
              </w:rPr>
              <w:t>SEGUNDO</w:t>
            </w:r>
            <w:r w:rsidRPr="00E51638">
              <w:rPr>
                <w:sz w:val="26"/>
                <w:szCs w:val="26"/>
                <w:lang w:val="es-ES"/>
              </w:rPr>
              <w:t xml:space="preserve">. Se declara la </w:t>
            </w:r>
            <w:r w:rsidRPr="00E51638">
              <w:rPr>
                <w:b/>
                <w:bCs/>
                <w:sz w:val="26"/>
                <w:szCs w:val="26"/>
                <w:lang w:val="es-ES"/>
              </w:rPr>
              <w:t>invalidez</w:t>
            </w:r>
            <w:r w:rsidRPr="00E51638">
              <w:rPr>
                <w:sz w:val="26"/>
                <w:szCs w:val="26"/>
                <w:lang w:val="es-ES"/>
              </w:rPr>
              <w:t xml:space="preserve"> del artículo 10, numeral 1, inciso h), de la Ley General del Sistema de Medios de Impugnación en Materia Electoral, adicionado mediante el DECRETO publicado en el Diario Oficial de la Federación el diecinueve de abril de dos mil veintidós, la cual surtirá sus </w:t>
            </w:r>
            <w:r w:rsidRPr="00E51638">
              <w:rPr>
                <w:b/>
                <w:bCs/>
                <w:sz w:val="26"/>
                <w:szCs w:val="26"/>
                <w:lang w:val="es-ES"/>
              </w:rPr>
              <w:t>efectos</w:t>
            </w:r>
            <w:r w:rsidRPr="00E51638">
              <w:rPr>
                <w:sz w:val="26"/>
                <w:szCs w:val="26"/>
                <w:lang w:val="es-ES"/>
              </w:rPr>
              <w:t xml:space="preserve"> a partir de la notificación de estos puntos resolutivos al Congreso de la Unión, en términos de los apartados V y VI de esta decisión. </w:t>
            </w:r>
          </w:p>
          <w:p w14:paraId="15563519" w14:textId="77777777" w:rsidR="005B4595" w:rsidRPr="00E51638" w:rsidRDefault="005B4595" w:rsidP="00C84651">
            <w:pPr>
              <w:spacing w:line="240" w:lineRule="auto"/>
              <w:rPr>
                <w:sz w:val="26"/>
                <w:szCs w:val="26"/>
                <w:lang w:val="es-ES"/>
              </w:rPr>
            </w:pPr>
          </w:p>
          <w:p w14:paraId="49354BC4" w14:textId="62348EC6" w:rsidR="005B4595" w:rsidRPr="00E51638" w:rsidRDefault="005B4595" w:rsidP="00C84651">
            <w:pPr>
              <w:spacing w:line="240" w:lineRule="auto"/>
              <w:rPr>
                <w:sz w:val="26"/>
                <w:szCs w:val="26"/>
              </w:rPr>
            </w:pPr>
            <w:r w:rsidRPr="00E51638">
              <w:rPr>
                <w:b/>
                <w:bCs/>
                <w:sz w:val="26"/>
                <w:szCs w:val="26"/>
                <w:lang w:val="es-ES"/>
              </w:rPr>
              <w:t>TERCERO</w:t>
            </w:r>
            <w:r w:rsidRPr="00E51638">
              <w:rPr>
                <w:sz w:val="26"/>
                <w:szCs w:val="26"/>
                <w:lang w:val="es-ES"/>
              </w:rPr>
              <w:t xml:space="preserve">. </w:t>
            </w:r>
            <w:r w:rsidRPr="00E51638">
              <w:rPr>
                <w:b/>
                <w:bCs/>
                <w:sz w:val="26"/>
                <w:szCs w:val="26"/>
                <w:lang w:val="es-ES"/>
              </w:rPr>
              <w:t>Publíquese</w:t>
            </w:r>
            <w:r w:rsidRPr="00E51638">
              <w:rPr>
                <w:sz w:val="26"/>
                <w:szCs w:val="26"/>
                <w:lang w:val="es-ES"/>
              </w:rPr>
              <w:t xml:space="preserve"> esta resolución en el Diario Oficial de la Federación, así como en el Semanario Judicial de la Federación y su Gaceta.</w:t>
            </w:r>
          </w:p>
          <w:p w14:paraId="6ED8C86C" w14:textId="13B2A680" w:rsidR="005E3588" w:rsidRPr="00E51638" w:rsidRDefault="005E3588" w:rsidP="00C84651">
            <w:pPr>
              <w:spacing w:line="240" w:lineRule="auto"/>
              <w:rPr>
                <w:sz w:val="26"/>
                <w:szCs w:val="26"/>
              </w:rPr>
            </w:pPr>
          </w:p>
        </w:tc>
        <w:tc>
          <w:tcPr>
            <w:tcW w:w="1081" w:type="dxa"/>
            <w:vAlign w:val="center"/>
          </w:tcPr>
          <w:p w14:paraId="0D8DD2B8" w14:textId="485BB648" w:rsidR="00F57A5F" w:rsidRPr="00E51638" w:rsidRDefault="00D26C0E" w:rsidP="00E51638">
            <w:pPr>
              <w:spacing w:line="240" w:lineRule="auto"/>
              <w:jc w:val="center"/>
              <w:rPr>
                <w:b/>
                <w:sz w:val="26"/>
                <w:szCs w:val="26"/>
              </w:rPr>
            </w:pPr>
            <w:r>
              <w:rPr>
                <w:b/>
                <w:sz w:val="26"/>
                <w:szCs w:val="26"/>
              </w:rPr>
              <w:t>79</w:t>
            </w:r>
          </w:p>
        </w:tc>
      </w:tr>
    </w:tbl>
    <w:p w14:paraId="1C846E37" w14:textId="00CA76E9" w:rsidR="00CF6E91" w:rsidRPr="00E51638" w:rsidRDefault="00CF6E91">
      <w:pPr>
        <w:spacing w:before="0" w:after="160" w:line="259" w:lineRule="auto"/>
        <w:jc w:val="left"/>
        <w:rPr>
          <w:sz w:val="26"/>
          <w:szCs w:val="26"/>
        </w:rPr>
      </w:pPr>
    </w:p>
    <w:p w14:paraId="72408BED" w14:textId="77777777" w:rsidR="00A56AAD" w:rsidRPr="00E51638" w:rsidRDefault="00A56AAD">
      <w:pPr>
        <w:spacing w:before="0" w:after="160" w:line="259" w:lineRule="auto"/>
        <w:jc w:val="left"/>
        <w:rPr>
          <w:sz w:val="26"/>
          <w:szCs w:val="26"/>
        </w:rPr>
      </w:pPr>
    </w:p>
    <w:p w14:paraId="69E2253B" w14:textId="66350EC4" w:rsidR="00CF6E91" w:rsidRPr="00E51638" w:rsidRDefault="00CF6E91">
      <w:pPr>
        <w:spacing w:before="0" w:after="160" w:line="259" w:lineRule="auto"/>
        <w:jc w:val="left"/>
        <w:rPr>
          <w:sz w:val="26"/>
          <w:szCs w:val="26"/>
        </w:rPr>
        <w:sectPr w:rsidR="00CF6E91" w:rsidRPr="00E51638" w:rsidSect="009A6DD6">
          <w:headerReference w:type="default" r:id="rId16"/>
          <w:footerReference w:type="default" r:id="rId17"/>
          <w:footerReference w:type="first" r:id="rId18"/>
          <w:pgSz w:w="12242" w:h="19442" w:code="10005"/>
          <w:pgMar w:top="2268" w:right="1469" w:bottom="1701" w:left="1701" w:header="1276" w:footer="1723" w:gutter="0"/>
          <w:pgNumType w:fmt="upperRoman"/>
          <w:cols w:space="708"/>
          <w:titlePg/>
          <w:docGrid w:linePitch="360"/>
        </w:sectPr>
      </w:pPr>
    </w:p>
    <w:p w14:paraId="49A2D352" w14:textId="77777777" w:rsidR="00CF6E91" w:rsidRPr="00E51638" w:rsidRDefault="00CF6E91" w:rsidP="00CF6E91">
      <w:pPr>
        <w:spacing w:after="240"/>
        <w:ind w:left="3969"/>
        <w:rPr>
          <w:b/>
          <w:bCs/>
          <w:sz w:val="26"/>
          <w:szCs w:val="26"/>
        </w:rPr>
      </w:pPr>
      <w:r w:rsidRPr="00E51638">
        <w:rPr>
          <w:b/>
          <w:bCs/>
          <w:sz w:val="26"/>
          <w:szCs w:val="26"/>
        </w:rPr>
        <w:lastRenderedPageBreak/>
        <w:t>ACCIÓN DE INCONSTITUCIONALIDAD 62/2022 Y SU ACUMULADA 77/2022</w:t>
      </w:r>
    </w:p>
    <w:p w14:paraId="0691C0E4" w14:textId="4CD23D89" w:rsidR="00CF6E91" w:rsidRPr="00E51638" w:rsidRDefault="00CF6E91" w:rsidP="00CF6E91">
      <w:pPr>
        <w:spacing w:after="240"/>
        <w:ind w:left="3969"/>
        <w:rPr>
          <w:b/>
          <w:bCs/>
          <w:sz w:val="26"/>
          <w:szCs w:val="26"/>
        </w:rPr>
      </w:pPr>
      <w:r w:rsidRPr="00E51638">
        <w:rPr>
          <w:b/>
          <w:bCs/>
          <w:sz w:val="26"/>
          <w:szCs w:val="26"/>
        </w:rPr>
        <w:t>PROMOVENTES: PARTIDO POLÍTICO MOVIMIENTO CIUDADANO Y DIVERSOS INTEGRANTES DE LA SEXAGÉSIMA QUINTA LEGISLATURA DE LA CÁMARA DE SENADORES DEL CONGRESO DE LA UNIÓN</w:t>
      </w:r>
      <w:r w:rsidR="006F6E49">
        <w:rPr>
          <w:b/>
          <w:bCs/>
          <w:sz w:val="26"/>
          <w:szCs w:val="26"/>
        </w:rPr>
        <w:t>.</w:t>
      </w:r>
    </w:p>
    <w:p w14:paraId="2EB6365A" w14:textId="77777777" w:rsidR="00C93FFF" w:rsidRPr="00E51638" w:rsidRDefault="00C93FFF" w:rsidP="00C93FFF">
      <w:pPr>
        <w:spacing w:before="0" w:after="0"/>
        <w:rPr>
          <w:sz w:val="26"/>
          <w:szCs w:val="26"/>
        </w:rPr>
      </w:pPr>
    </w:p>
    <w:p w14:paraId="58036D59" w14:textId="77777777" w:rsidR="00F15FD9" w:rsidRPr="00E51638" w:rsidRDefault="00F15FD9" w:rsidP="00F15FD9">
      <w:pPr>
        <w:pStyle w:val="Sinespaciado"/>
        <w:tabs>
          <w:tab w:val="left" w:pos="7227"/>
        </w:tabs>
        <w:spacing w:before="240"/>
      </w:pPr>
      <w:r w:rsidRPr="00E51638">
        <w:t>VISTO BUENO</w:t>
      </w:r>
    </w:p>
    <w:p w14:paraId="1686D0E4" w14:textId="3F3C9227" w:rsidR="00F15FD9" w:rsidRPr="00E51638" w:rsidRDefault="00F15FD9" w:rsidP="00F15FD9">
      <w:pPr>
        <w:pStyle w:val="Sinespaciado"/>
        <w:tabs>
          <w:tab w:val="left" w:pos="7309"/>
        </w:tabs>
      </w:pPr>
      <w:r w:rsidRPr="00E51638">
        <w:t>SR MINISTR</w:t>
      </w:r>
      <w:r w:rsidR="00816EF3" w:rsidRPr="00E51638">
        <w:t>O</w:t>
      </w:r>
    </w:p>
    <w:p w14:paraId="4D088156" w14:textId="3CEAD66B" w:rsidR="00F15FD9" w:rsidRPr="00E51638" w:rsidRDefault="00F15FD9" w:rsidP="00F15FD9">
      <w:pPr>
        <w:spacing w:before="0"/>
        <w:rPr>
          <w:b/>
          <w:sz w:val="26"/>
          <w:szCs w:val="26"/>
        </w:rPr>
      </w:pPr>
      <w:r w:rsidRPr="00E51638">
        <w:rPr>
          <w:b/>
          <w:sz w:val="26"/>
          <w:szCs w:val="26"/>
        </w:rPr>
        <w:t xml:space="preserve">PONENTE: </w:t>
      </w:r>
      <w:r w:rsidR="004C1176" w:rsidRPr="00E51638">
        <w:rPr>
          <w:b/>
          <w:sz w:val="26"/>
          <w:szCs w:val="26"/>
        </w:rPr>
        <w:t>MINISTRO LUIS MARÍA AGUILAR MORALES</w:t>
      </w:r>
    </w:p>
    <w:p w14:paraId="10602AF0" w14:textId="588C64FD" w:rsidR="00447596" w:rsidRPr="00E51638" w:rsidRDefault="00447596" w:rsidP="00F10E2A">
      <w:pPr>
        <w:tabs>
          <w:tab w:val="left" w:pos="2127"/>
        </w:tabs>
        <w:spacing w:before="0" w:after="0"/>
        <w:rPr>
          <w:b/>
          <w:color w:val="000000" w:themeColor="text1"/>
          <w:sz w:val="26"/>
          <w:szCs w:val="26"/>
        </w:rPr>
      </w:pPr>
      <w:r w:rsidRPr="00E51638">
        <w:rPr>
          <w:b/>
          <w:color w:val="000000" w:themeColor="text1"/>
          <w:sz w:val="26"/>
          <w:szCs w:val="26"/>
        </w:rPr>
        <w:t>SECRETARIO:</w:t>
      </w:r>
      <w:r w:rsidR="00906F35">
        <w:rPr>
          <w:b/>
          <w:color w:val="000000" w:themeColor="text1"/>
          <w:sz w:val="26"/>
          <w:szCs w:val="26"/>
        </w:rPr>
        <w:t xml:space="preserve"> </w:t>
      </w:r>
      <w:r w:rsidRPr="00E51638">
        <w:rPr>
          <w:b/>
          <w:color w:val="000000" w:themeColor="text1"/>
          <w:sz w:val="26"/>
          <w:szCs w:val="26"/>
        </w:rPr>
        <w:t>LUIS ALBERTO TREJO OSORNIO</w:t>
      </w:r>
    </w:p>
    <w:p w14:paraId="1CF1EC7B" w14:textId="77777777" w:rsidR="00900BBC" w:rsidRPr="00E51638" w:rsidRDefault="00900BBC" w:rsidP="00F15FD9">
      <w:pPr>
        <w:spacing w:before="0"/>
        <w:rPr>
          <w:b/>
          <w:sz w:val="26"/>
          <w:szCs w:val="26"/>
        </w:rPr>
      </w:pPr>
    </w:p>
    <w:p w14:paraId="46F1CE58" w14:textId="77777777" w:rsidR="00F15FD9" w:rsidRPr="00E51638" w:rsidRDefault="00F15FD9" w:rsidP="00F15FD9">
      <w:pPr>
        <w:pStyle w:val="Sinespaciado"/>
      </w:pPr>
      <w:r w:rsidRPr="00E51638">
        <w:t>COTEJÓ</w:t>
      </w:r>
    </w:p>
    <w:p w14:paraId="00263F58" w14:textId="77777777" w:rsidR="00900BBC" w:rsidRPr="00E51638" w:rsidRDefault="00900BBC" w:rsidP="00F15FD9">
      <w:pPr>
        <w:pStyle w:val="Prrafo"/>
      </w:pPr>
    </w:p>
    <w:p w14:paraId="2061D519" w14:textId="717A9099" w:rsidR="00F15FD9" w:rsidRPr="00E51638" w:rsidRDefault="00F15FD9" w:rsidP="004C2026">
      <w:pPr>
        <w:pStyle w:val="Prrafo"/>
      </w:pPr>
      <w:r w:rsidRPr="00E51638">
        <w:t>Ciudad de México.</w:t>
      </w:r>
      <w:r w:rsidR="00420A2C" w:rsidRPr="00E51638">
        <w:t xml:space="preserve"> </w:t>
      </w:r>
      <w:r w:rsidR="00032297" w:rsidRPr="00E51638">
        <w:t xml:space="preserve">Acuerdo del Tribunal Pleno </w:t>
      </w:r>
      <w:r w:rsidRPr="00E51638">
        <w:t>de la Suprema Corte de Justicia de la Nación, en sesión correspondiente al</w:t>
      </w:r>
      <w:r w:rsidR="00F10E2A" w:rsidRPr="00E51638">
        <w:t xml:space="preserve"> </w:t>
      </w:r>
      <w:r w:rsidR="008134BE" w:rsidRPr="00E51638">
        <w:t>veintidós</w:t>
      </w:r>
      <w:r w:rsidR="00F10E2A" w:rsidRPr="00E51638">
        <w:t xml:space="preserve"> de </w:t>
      </w:r>
      <w:r w:rsidR="008134BE" w:rsidRPr="00E51638">
        <w:t xml:space="preserve">agosto </w:t>
      </w:r>
      <w:r w:rsidR="00F10E2A" w:rsidRPr="00E51638">
        <w:t>de dos mil veintidós</w:t>
      </w:r>
      <w:r w:rsidRPr="00E51638">
        <w:t>, emite la siguiente:</w:t>
      </w:r>
    </w:p>
    <w:p w14:paraId="74B6D3FF" w14:textId="77777777" w:rsidR="00F15FD9" w:rsidRPr="00E51638" w:rsidRDefault="00F15FD9" w:rsidP="004C2026">
      <w:pPr>
        <w:pStyle w:val="Ttulo2"/>
        <w:spacing w:before="240" w:after="240" w:line="360" w:lineRule="auto"/>
        <w:rPr>
          <w:rFonts w:ascii="Arial" w:hAnsi="Arial"/>
        </w:rPr>
      </w:pPr>
      <w:bookmarkStart w:id="0" w:name="_Toc108556656"/>
      <w:bookmarkStart w:id="1" w:name="_Toc108630493"/>
      <w:bookmarkStart w:id="2" w:name="_Toc108795858"/>
      <w:bookmarkStart w:id="3" w:name="_Toc109004112"/>
      <w:bookmarkStart w:id="4" w:name="_Toc113984430"/>
      <w:r w:rsidRPr="00E51638">
        <w:rPr>
          <w:rFonts w:ascii="Arial" w:hAnsi="Arial"/>
        </w:rPr>
        <w:t>SENTENCIA</w:t>
      </w:r>
      <w:bookmarkEnd w:id="0"/>
      <w:bookmarkEnd w:id="1"/>
      <w:bookmarkEnd w:id="2"/>
      <w:bookmarkEnd w:id="3"/>
      <w:bookmarkEnd w:id="4"/>
    </w:p>
    <w:p w14:paraId="24EFCB69" w14:textId="00F63FF8" w:rsidR="00F15FD9" w:rsidRPr="00E51638" w:rsidRDefault="00F15FD9" w:rsidP="004C2026">
      <w:pPr>
        <w:pStyle w:val="Prrafo"/>
      </w:pPr>
      <w:r w:rsidRPr="00E51638">
        <w:t>Mediante</w:t>
      </w:r>
      <w:r w:rsidRPr="00E51638">
        <w:rPr>
          <w:b/>
        </w:rPr>
        <w:t xml:space="preserve"> </w:t>
      </w:r>
      <w:r w:rsidRPr="00E51638">
        <w:t>la cual se resuelve la acción de inconstitucionalidad</w:t>
      </w:r>
      <w:r w:rsidR="002C58C4" w:rsidRPr="00E51638">
        <w:t xml:space="preserve"> </w:t>
      </w:r>
      <w:r w:rsidR="004C1176" w:rsidRPr="00E51638">
        <w:t>62/2022</w:t>
      </w:r>
      <w:r w:rsidR="00AC4A12" w:rsidRPr="00E51638">
        <w:t xml:space="preserve"> y su acumulada 77/2022</w:t>
      </w:r>
      <w:r w:rsidRPr="00E51638">
        <w:t>, promovida</w:t>
      </w:r>
      <w:r w:rsidR="00AC4A12" w:rsidRPr="00E51638">
        <w:t>s</w:t>
      </w:r>
      <w:r w:rsidR="00794E81" w:rsidRPr="00E51638">
        <w:t xml:space="preserve"> </w:t>
      </w:r>
      <w:r w:rsidR="00032297" w:rsidRPr="00E51638">
        <w:t xml:space="preserve">en </w:t>
      </w:r>
      <w:r w:rsidRPr="00E51638">
        <w:t>contra</w:t>
      </w:r>
      <w:r w:rsidR="00032297" w:rsidRPr="00E51638">
        <w:t xml:space="preserve"> del </w:t>
      </w:r>
      <w:r w:rsidR="00172B7B" w:rsidRPr="00E51638">
        <w:t>artículo 10, numeral 1, inciso h), de la Ley General del Sistema de Medios de Impugnación en Materia Electoral, adicionado mediante Decreto</w:t>
      </w:r>
      <w:r w:rsidR="00E6755C" w:rsidRPr="00E51638">
        <w:t xml:space="preserve"> publicado en el Diario Oficial de la Federación el diecinueve de abril de dos mil veintidós</w:t>
      </w:r>
      <w:r w:rsidR="00D17180" w:rsidRPr="00E51638">
        <w:t xml:space="preserve">. </w:t>
      </w:r>
      <w:r w:rsidR="003E38D2" w:rsidRPr="00E51638">
        <w:t>Con dicho precepto</w:t>
      </w:r>
      <w:r w:rsidR="00794E81" w:rsidRPr="00E51638">
        <w:t xml:space="preserve"> se </w:t>
      </w:r>
      <w:r w:rsidR="003E38D2" w:rsidRPr="00E51638">
        <w:t xml:space="preserve">agregó </w:t>
      </w:r>
      <w:r w:rsidR="00794E81" w:rsidRPr="00E51638">
        <w:t>una causal de improcedencia a los medios de impugnación de la competencia del Tribunal Electoral del Poder Judicial de la Federación</w:t>
      </w:r>
      <w:r w:rsidR="003E38D2" w:rsidRPr="00E51638">
        <w:t xml:space="preserve"> en los siguientes términos</w:t>
      </w:r>
      <w:r w:rsidR="00E6755C" w:rsidRPr="00E51638">
        <w:t xml:space="preserve">: </w:t>
      </w:r>
    </w:p>
    <w:p w14:paraId="09EE3694" w14:textId="504BFF71" w:rsidR="00615E40" w:rsidRPr="00501D6E" w:rsidRDefault="00F10E2A" w:rsidP="00F10E2A">
      <w:pPr>
        <w:pStyle w:val="Prrafo"/>
        <w:spacing w:before="0" w:after="0" w:line="240" w:lineRule="auto"/>
        <w:ind w:left="708" w:right="850"/>
        <w:rPr>
          <w:b/>
          <w:bCs/>
          <w:i/>
          <w:iCs/>
          <w:color w:val="000000"/>
        </w:rPr>
      </w:pPr>
      <w:r w:rsidRPr="00E51638">
        <w:rPr>
          <w:color w:val="000000"/>
        </w:rPr>
        <w:t>“</w:t>
      </w:r>
      <w:r w:rsidR="006D55EC" w:rsidRPr="00501D6E">
        <w:rPr>
          <w:b/>
          <w:bCs/>
          <w:i/>
          <w:iCs/>
          <w:color w:val="000000"/>
        </w:rPr>
        <w:t>Artículo 10</w:t>
      </w:r>
    </w:p>
    <w:p w14:paraId="4C30F260" w14:textId="77777777" w:rsidR="00F10E2A" w:rsidRPr="00501D6E" w:rsidRDefault="006D55EC" w:rsidP="00F10E2A">
      <w:pPr>
        <w:pStyle w:val="Prrafo"/>
        <w:spacing w:before="0" w:after="0" w:line="240" w:lineRule="auto"/>
        <w:ind w:left="708" w:right="850"/>
        <w:rPr>
          <w:i/>
          <w:iCs/>
          <w:color w:val="000000"/>
        </w:rPr>
      </w:pPr>
      <w:r w:rsidRPr="00501D6E">
        <w:rPr>
          <w:b/>
          <w:bCs/>
          <w:i/>
          <w:iCs/>
          <w:color w:val="000000"/>
        </w:rPr>
        <w:t>1.</w:t>
      </w:r>
      <w:r w:rsidRPr="00501D6E">
        <w:rPr>
          <w:i/>
          <w:iCs/>
          <w:color w:val="000000"/>
        </w:rPr>
        <w:t xml:space="preserve"> Los medios de impugnación previstos en esta ley serán improcedentes en los siguientes casos:</w:t>
      </w:r>
      <w:r w:rsidR="00615E40" w:rsidRPr="00501D6E">
        <w:rPr>
          <w:i/>
          <w:iCs/>
          <w:color w:val="000000"/>
        </w:rPr>
        <w:t xml:space="preserve"> </w:t>
      </w:r>
    </w:p>
    <w:p w14:paraId="6D7EF576" w14:textId="0E9383B8" w:rsidR="00615E40" w:rsidRPr="00501D6E" w:rsidRDefault="00615E40" w:rsidP="00F10E2A">
      <w:pPr>
        <w:pStyle w:val="Prrafo"/>
        <w:spacing w:before="0" w:after="0" w:line="240" w:lineRule="auto"/>
        <w:ind w:left="708" w:right="850"/>
        <w:rPr>
          <w:i/>
          <w:iCs/>
          <w:color w:val="000000"/>
        </w:rPr>
      </w:pPr>
      <w:r w:rsidRPr="00501D6E">
        <w:rPr>
          <w:i/>
          <w:iCs/>
          <w:color w:val="000000"/>
        </w:rPr>
        <w:t>(…)</w:t>
      </w:r>
    </w:p>
    <w:p w14:paraId="0D5231DF" w14:textId="4BBD40CC" w:rsidR="006D55EC" w:rsidRPr="00E51638" w:rsidRDefault="006D55EC" w:rsidP="00F10E2A">
      <w:pPr>
        <w:pStyle w:val="Prrafo"/>
        <w:spacing w:before="0" w:after="0" w:line="240" w:lineRule="auto"/>
        <w:ind w:left="708" w:right="850"/>
        <w:rPr>
          <w:color w:val="000000"/>
        </w:rPr>
      </w:pPr>
      <w:r w:rsidRPr="00501D6E">
        <w:rPr>
          <w:b/>
          <w:bCs/>
          <w:i/>
          <w:iCs/>
          <w:color w:val="000000"/>
        </w:rPr>
        <w:t xml:space="preserve">h) </w:t>
      </w:r>
      <w:r w:rsidRPr="00501D6E">
        <w:rPr>
          <w:i/>
          <w:iCs/>
          <w:color w:val="000000"/>
        </w:rPr>
        <w:t>Cuando se pretenda impugnar cualquier acto parlamentario del Congreso de la Unión, su Comisión Permanente o cualquiera de sus Cámaras, emitido por sus órganos de gobierno, como los concernientes a la integración, organización y funcionamiento internos de sus órganos y comisiones legislativas</w:t>
      </w:r>
      <w:r w:rsidR="0054609E" w:rsidRPr="00E51638">
        <w:rPr>
          <w:color w:val="000000"/>
        </w:rPr>
        <w:t>”</w:t>
      </w:r>
      <w:r w:rsidRPr="00E51638">
        <w:rPr>
          <w:color w:val="000000"/>
        </w:rPr>
        <w:t>.</w:t>
      </w:r>
    </w:p>
    <w:p w14:paraId="28DDC71F" w14:textId="5658BB5B" w:rsidR="00F10E2A" w:rsidRDefault="00F10E2A" w:rsidP="00F10E2A">
      <w:pPr>
        <w:pStyle w:val="Prrafo"/>
        <w:spacing w:before="0" w:after="0" w:line="240" w:lineRule="auto"/>
        <w:ind w:left="708" w:right="850"/>
        <w:rPr>
          <w:color w:val="000000"/>
        </w:rPr>
      </w:pPr>
    </w:p>
    <w:p w14:paraId="2518683B" w14:textId="77777777" w:rsidR="00900BBC" w:rsidRPr="00E51638" w:rsidRDefault="00900BBC" w:rsidP="00F10E2A">
      <w:pPr>
        <w:pStyle w:val="Prrafo"/>
        <w:spacing w:before="0" w:after="0" w:line="240" w:lineRule="auto"/>
        <w:ind w:left="708" w:right="850"/>
        <w:rPr>
          <w:color w:val="000000"/>
        </w:rPr>
      </w:pPr>
    </w:p>
    <w:p w14:paraId="42A6FF27" w14:textId="0186E285" w:rsidR="00F15FD9" w:rsidRPr="00E51638" w:rsidRDefault="00F15FD9" w:rsidP="006E4122">
      <w:pPr>
        <w:pStyle w:val="Ttulo3"/>
        <w:numPr>
          <w:ilvl w:val="0"/>
          <w:numId w:val="0"/>
        </w:numPr>
      </w:pPr>
      <w:bookmarkStart w:id="5" w:name="_Toc108556657"/>
      <w:bookmarkStart w:id="6" w:name="_Toc108630494"/>
      <w:bookmarkStart w:id="7" w:name="_Toc108795859"/>
      <w:bookmarkStart w:id="8" w:name="_Toc109004113"/>
      <w:bookmarkStart w:id="9" w:name="_Toc113984431"/>
      <w:r w:rsidRPr="00E51638">
        <w:lastRenderedPageBreak/>
        <w:t>ANTECEDENTES Y TRÁMITE DE LA DEMANDA</w:t>
      </w:r>
      <w:bookmarkEnd w:id="5"/>
      <w:bookmarkEnd w:id="6"/>
      <w:bookmarkEnd w:id="7"/>
      <w:bookmarkEnd w:id="8"/>
      <w:bookmarkEnd w:id="9"/>
      <w:r w:rsidR="001E1A94">
        <w:t>.</w:t>
      </w:r>
    </w:p>
    <w:p w14:paraId="169C8B4D" w14:textId="15FEA48B" w:rsidR="00F15FD9" w:rsidRPr="00E51638" w:rsidRDefault="00F15FD9" w:rsidP="00A2403A">
      <w:pPr>
        <w:pStyle w:val="Prrafo"/>
        <w:numPr>
          <w:ilvl w:val="0"/>
          <w:numId w:val="6"/>
        </w:numPr>
        <w:ind w:left="0" w:hanging="567"/>
      </w:pPr>
      <w:r w:rsidRPr="00E51638">
        <w:rPr>
          <w:b/>
        </w:rPr>
        <w:t xml:space="preserve">Presentación </w:t>
      </w:r>
      <w:r w:rsidR="00263182" w:rsidRPr="00E51638">
        <w:rPr>
          <w:b/>
        </w:rPr>
        <w:t xml:space="preserve">de la acción de inconstitucionalidad 62/2022, promovida </w:t>
      </w:r>
      <w:r w:rsidRPr="00E51638">
        <w:rPr>
          <w:b/>
        </w:rPr>
        <w:t xml:space="preserve">por </w:t>
      </w:r>
      <w:bookmarkStart w:id="10" w:name="_Hlk103235411"/>
      <w:r w:rsidR="00615E40" w:rsidRPr="00E51638">
        <w:rPr>
          <w:b/>
        </w:rPr>
        <w:t>el partido político Movimiento Ciudadano</w:t>
      </w:r>
      <w:r w:rsidRPr="00E51638">
        <w:rPr>
          <w:b/>
        </w:rPr>
        <w:t>.</w:t>
      </w:r>
      <w:bookmarkEnd w:id="10"/>
      <w:r w:rsidRPr="00E51638">
        <w:t xml:space="preserve"> </w:t>
      </w:r>
      <w:r w:rsidR="00615E40" w:rsidRPr="00E51638">
        <w:t>Mediante escrito depositado el veintiséis de abril de dos mil veintidós en el buzón judicial automatizado del edificio sede de esta Suprema Corte de Justicia de la Nación,</w:t>
      </w:r>
      <w:r w:rsidR="00E6755C" w:rsidRPr="00E51638">
        <w:t xml:space="preserve"> </w:t>
      </w:r>
      <w:r w:rsidR="00E6755C" w:rsidRPr="00E51638">
        <w:rPr>
          <w:lang w:val="es-ES"/>
        </w:rPr>
        <w:t>Dante Alfonso Delgado Rannauro, Benjamín Alamillo González, Ana Lucía Baduy Valles, Rubén Isaac Barrios Ochoa, Jacobo David Cheja Alfaro, Priscilla Franco Barba, Martha Patricia Herrera González, Tabita Ortiz Hernández, Lucía Alejandra Puente García y Juan Ignacio Zavala Gutiérrez, ostentándose como coordinador, integrantes y secretario general de acuerdos, respetivamente, de la Comisión Operativa Nacional del Partido Político Movimiento Ciudadano</w:t>
      </w:r>
      <w:r w:rsidR="00E6755C" w:rsidRPr="00E51638">
        <w:t>, promovieron acción de inconstitucionalidad, solicitando la invalidez del artículo 10</w:t>
      </w:r>
      <w:r w:rsidR="00A2403A" w:rsidRPr="00E51638">
        <w:t>, numeral 1, inciso h),</w:t>
      </w:r>
      <w:r w:rsidR="00E6755C" w:rsidRPr="00E51638">
        <w:t xml:space="preserve"> de la Ley General del Sistemas de Medios de Impugnación en Materia Electoral, adicionado mediante decreto publicado en el Diario Oficial de la Federación el diecinueve de abril de dos mil veintidós. </w:t>
      </w:r>
    </w:p>
    <w:p w14:paraId="123C9C5B" w14:textId="3C9C7513" w:rsidR="00E6755C" w:rsidRPr="00E51638" w:rsidRDefault="00F15FD9" w:rsidP="00E76501">
      <w:pPr>
        <w:pStyle w:val="Prrafo"/>
        <w:numPr>
          <w:ilvl w:val="0"/>
          <w:numId w:val="6"/>
        </w:numPr>
        <w:ind w:left="0" w:hanging="567"/>
      </w:pPr>
      <w:r w:rsidRPr="00E51638">
        <w:rPr>
          <w:b/>
        </w:rPr>
        <w:t>Conceptos de invalidez</w:t>
      </w:r>
      <w:r w:rsidR="00D225F4" w:rsidRPr="00E51638">
        <w:rPr>
          <w:b/>
        </w:rPr>
        <w:t xml:space="preserve"> del partido político Movimiento Ciudadano</w:t>
      </w:r>
      <w:r w:rsidRPr="00E51638">
        <w:rPr>
          <w:b/>
        </w:rPr>
        <w:t>.</w:t>
      </w:r>
      <w:r w:rsidRPr="00E51638">
        <w:t xml:space="preserve"> En su </w:t>
      </w:r>
      <w:r w:rsidR="008F5230" w:rsidRPr="00E51638">
        <w:t>escrito inicial</w:t>
      </w:r>
      <w:r w:rsidRPr="00E51638">
        <w:t>,</w:t>
      </w:r>
      <w:r w:rsidR="00E6755C" w:rsidRPr="00E51638">
        <w:t xml:space="preserve"> </w:t>
      </w:r>
      <w:r w:rsidR="00315475" w:rsidRPr="00E51638">
        <w:t xml:space="preserve">los accionantes alegaron vulnerados los artículos </w:t>
      </w:r>
      <w:r w:rsidR="00B62C5D" w:rsidRPr="00E51638">
        <w:t xml:space="preserve">1º, 14, 16, 17, 35, 41, 72, 99 y 116 de la Constitución Política de los Estados Unidos Mexicanos, así como los </w:t>
      </w:r>
      <w:r w:rsidR="001E1A94">
        <w:t>diversos</w:t>
      </w:r>
      <w:r w:rsidR="00B62C5D" w:rsidRPr="00E51638">
        <w:t xml:space="preserve"> </w:t>
      </w:r>
      <w:r w:rsidR="00E41173" w:rsidRPr="00E51638">
        <w:t>8, 23 y 25 de la Convención Americana sobre Derechos Humanos. A</w:t>
      </w:r>
      <w:r w:rsidR="00315475" w:rsidRPr="00E51638">
        <w:t xml:space="preserve">l respecto, expusieron los conceptos de invalidez siguientes: </w:t>
      </w:r>
      <w:r w:rsidRPr="00E51638">
        <w:t xml:space="preserve"> </w:t>
      </w:r>
    </w:p>
    <w:p w14:paraId="18F4AD8A" w14:textId="16CCD3CC" w:rsidR="00C421EA" w:rsidRPr="00E51638" w:rsidRDefault="004169DE" w:rsidP="004D2BD5">
      <w:pPr>
        <w:pStyle w:val="Prrafo"/>
        <w:numPr>
          <w:ilvl w:val="1"/>
          <w:numId w:val="6"/>
        </w:numPr>
        <w:ind w:left="567"/>
      </w:pPr>
      <w:r w:rsidRPr="00E51638">
        <w:rPr>
          <w:b/>
        </w:rPr>
        <w:t>Primero. Violaciones al principio de legalidad</w:t>
      </w:r>
      <w:r w:rsidRPr="00E51638">
        <w:rPr>
          <w:bCs/>
        </w:rPr>
        <w:t xml:space="preserve">. </w:t>
      </w:r>
      <w:r w:rsidR="00C421EA" w:rsidRPr="00E51638">
        <w:rPr>
          <w:bCs/>
        </w:rPr>
        <w:t xml:space="preserve">El decreto impugnado viola el principio de legalidad, por contravenir directamente la interpretación que </w:t>
      </w:r>
      <w:r w:rsidR="001C6763" w:rsidRPr="00E51638">
        <w:rPr>
          <w:bCs/>
        </w:rPr>
        <w:t>realizó</w:t>
      </w:r>
      <w:r w:rsidR="00C421EA" w:rsidRPr="00E51638">
        <w:rPr>
          <w:bCs/>
        </w:rPr>
        <w:t xml:space="preserve"> la </w:t>
      </w:r>
      <w:r w:rsidR="001C6763" w:rsidRPr="00E51638">
        <w:rPr>
          <w:bCs/>
        </w:rPr>
        <w:t>Sala Superior del Tribunal Electoral del Poder Judicial de la Federación</w:t>
      </w:r>
      <w:r w:rsidR="00F34BF3" w:rsidRPr="00E51638">
        <w:rPr>
          <w:bCs/>
        </w:rPr>
        <w:t xml:space="preserve"> sobre los artículos 1º, 17, 41, base VI, y 116, fracción IV, inciso l), de la Constitución General, así como de los </w:t>
      </w:r>
      <w:r w:rsidR="00BA5ECF">
        <w:rPr>
          <w:bCs/>
        </w:rPr>
        <w:t>diversos</w:t>
      </w:r>
      <w:r w:rsidR="00F34BF3" w:rsidRPr="00E51638">
        <w:rPr>
          <w:bCs/>
        </w:rPr>
        <w:t xml:space="preserve"> 8, 23 y 25 de la Convención Americana sobre Derechos Humanos,</w:t>
      </w:r>
      <w:r w:rsidR="001C6763" w:rsidRPr="00E51638">
        <w:rPr>
          <w:bCs/>
        </w:rPr>
        <w:t xml:space="preserve"> en la jurisprudencia 2/2022, de rubro: “</w:t>
      </w:r>
      <w:r w:rsidR="001C6763" w:rsidRPr="00E51638">
        <w:rPr>
          <w:i/>
          <w:iCs/>
        </w:rPr>
        <w:t xml:space="preserve">ACTOS PARLAMENTARIOS. SON REVISABLES EN SEDE JURISDICCIONAL ELECTORAL, CUANDO VULNERAN EL DERECHO HUMANO DE ÍNDOLE POLÍTICO-ELECTORAL DE SER </w:t>
      </w:r>
      <w:r w:rsidR="001C6763" w:rsidRPr="00E51638">
        <w:rPr>
          <w:i/>
          <w:iCs/>
        </w:rPr>
        <w:lastRenderedPageBreak/>
        <w:t>VOTADO, EN SU VERTIENTE DE EJERCICIO EFECTIVO DEL CARGO Y DE REPRESENTACIÓN DE LA CIUDADANÍA</w:t>
      </w:r>
      <w:r w:rsidR="001C6763" w:rsidRPr="00E51638">
        <w:t>”</w:t>
      </w:r>
      <w:r w:rsidR="00C421EA" w:rsidRPr="00E51638">
        <w:t>.</w:t>
      </w:r>
    </w:p>
    <w:p w14:paraId="13C4A1FD" w14:textId="106DD2C4" w:rsidR="00F15FD9" w:rsidRPr="00E51638" w:rsidRDefault="004169DE" w:rsidP="004D2BD5">
      <w:pPr>
        <w:pStyle w:val="Prrafo"/>
        <w:ind w:left="567"/>
      </w:pPr>
      <w:r w:rsidRPr="00E51638">
        <w:rPr>
          <w:bCs/>
        </w:rPr>
        <w:t xml:space="preserve">El partido </w:t>
      </w:r>
      <w:r w:rsidR="00413012">
        <w:rPr>
          <w:bCs/>
        </w:rPr>
        <w:t xml:space="preserve">político </w:t>
      </w:r>
      <w:r w:rsidRPr="00E51638">
        <w:rPr>
          <w:bCs/>
        </w:rPr>
        <w:t xml:space="preserve">Movimiento Ciudadano sostiene que el decreto impugnado vulnera </w:t>
      </w:r>
      <w:r w:rsidR="001C6763" w:rsidRPr="00E51638">
        <w:rPr>
          <w:bCs/>
        </w:rPr>
        <w:t>el principio de legalidad</w:t>
      </w:r>
      <w:r w:rsidR="0004061C" w:rsidRPr="00E51638">
        <w:rPr>
          <w:bCs/>
        </w:rPr>
        <w:t>,</w:t>
      </w:r>
      <w:r w:rsidR="001C6763" w:rsidRPr="00E51638">
        <w:rPr>
          <w:bCs/>
        </w:rPr>
        <w:t xml:space="preserve"> </w:t>
      </w:r>
      <w:r w:rsidR="001C6763" w:rsidRPr="00E51638">
        <w:rPr>
          <w:bCs/>
          <w:u w:val="single"/>
        </w:rPr>
        <w:t>al impedir en términos absolutos el ejercicio de todo medio de impugnación en materia electoral en contra de actos parlamentarios</w:t>
      </w:r>
      <w:r w:rsidR="001C6763" w:rsidRPr="00E51638">
        <w:rPr>
          <w:bCs/>
        </w:rPr>
        <w:t xml:space="preserve">, </w:t>
      </w:r>
      <w:r w:rsidR="000B7AC0" w:rsidRPr="00E51638">
        <w:rPr>
          <w:bCs/>
        </w:rPr>
        <w:t xml:space="preserve">esto es, que la limitación total de revisar la constitucionalidad de los actos internos del Congreso rompe con el texto del artículo 99 constitucional, </w:t>
      </w:r>
      <w:r w:rsidRPr="00E51638">
        <w:rPr>
          <w:bCs/>
        </w:rPr>
        <w:t xml:space="preserve">ya que </w:t>
      </w:r>
      <w:r w:rsidR="000B7AC0" w:rsidRPr="00E51638">
        <w:rPr>
          <w:bCs/>
        </w:rPr>
        <w:t xml:space="preserve">la prohibición absoluta en ese tema remueve la facultad del </w:t>
      </w:r>
      <w:r w:rsidRPr="00E51638">
        <w:rPr>
          <w:bCs/>
        </w:rPr>
        <w:t xml:space="preserve">Tribunal Electoral </w:t>
      </w:r>
      <w:r w:rsidR="00E817BB" w:rsidRPr="00E51638">
        <w:rPr>
          <w:bCs/>
        </w:rPr>
        <w:t>como la máxima autoridad jurisdiccional en la materia</w:t>
      </w:r>
      <w:r w:rsidR="001C027F" w:rsidRPr="00E51638">
        <w:rPr>
          <w:bCs/>
        </w:rPr>
        <w:t xml:space="preserve"> (con excepción de lo dispuesto en el </w:t>
      </w:r>
      <w:r w:rsidR="003E7A03">
        <w:rPr>
          <w:bCs/>
        </w:rPr>
        <w:t>precepto</w:t>
      </w:r>
      <w:r w:rsidR="001C027F" w:rsidRPr="00E51638">
        <w:rPr>
          <w:bCs/>
        </w:rPr>
        <w:t xml:space="preserve"> 105, fracción II, de la Ley Fundamental)</w:t>
      </w:r>
      <w:r w:rsidR="00E817BB" w:rsidRPr="00E51638">
        <w:rPr>
          <w:bCs/>
        </w:rPr>
        <w:t>.</w:t>
      </w:r>
    </w:p>
    <w:p w14:paraId="334E7150" w14:textId="77777777" w:rsidR="00F044A5" w:rsidRPr="00E51638" w:rsidRDefault="00F044A5" w:rsidP="004D2BD5">
      <w:pPr>
        <w:pStyle w:val="Prrafo"/>
        <w:numPr>
          <w:ilvl w:val="1"/>
          <w:numId w:val="6"/>
        </w:numPr>
        <w:ind w:left="567"/>
      </w:pPr>
      <w:r w:rsidRPr="00E51638">
        <w:rPr>
          <w:b/>
        </w:rPr>
        <w:t xml:space="preserve">Segundo. Violaciones al principio de independencia judicial. </w:t>
      </w:r>
      <w:r w:rsidR="008D114F" w:rsidRPr="00E51638">
        <w:rPr>
          <w:bCs/>
        </w:rPr>
        <w:t>La adición a la</w:t>
      </w:r>
      <w:r w:rsidR="008D114F" w:rsidRPr="00E51638">
        <w:rPr>
          <w:b/>
        </w:rPr>
        <w:t xml:space="preserve"> </w:t>
      </w:r>
      <w:r w:rsidR="008D114F" w:rsidRPr="00E51638">
        <w:t xml:space="preserve">Ley General del Sistemas de Medios de Impugnación en Materia Electoral </w:t>
      </w:r>
      <w:r w:rsidR="000B7AC0" w:rsidRPr="00E51638">
        <w:t xml:space="preserve">viola el principio de independencia judicial, pues </w:t>
      </w:r>
      <w:r w:rsidR="008D114F" w:rsidRPr="00E51638">
        <w:t xml:space="preserve">configura una intromisión del Poder Legislativo </w:t>
      </w:r>
      <w:r w:rsidR="000B7AC0" w:rsidRPr="00E51638">
        <w:t xml:space="preserve">hacia </w:t>
      </w:r>
      <w:r w:rsidR="008D114F" w:rsidRPr="00E51638">
        <w:t>el Poder Judicial</w:t>
      </w:r>
      <w:r w:rsidR="000B7AC0" w:rsidRPr="00E51638">
        <w:t>, específicamente, en la forma en cómo</w:t>
      </w:r>
      <w:r w:rsidR="008D114F" w:rsidRPr="00E51638">
        <w:t xml:space="preserve"> ejerce sus atribuciones </w:t>
      </w:r>
      <w:r w:rsidR="000B7AC0" w:rsidRPr="00E51638">
        <w:t xml:space="preserve">jurisdiccionales </w:t>
      </w:r>
      <w:r w:rsidR="008D114F" w:rsidRPr="00E51638">
        <w:t>en materia electoral</w:t>
      </w:r>
      <w:r w:rsidR="001C027F" w:rsidRPr="00E51638">
        <w:t>.</w:t>
      </w:r>
      <w:r w:rsidR="000B7AC0" w:rsidRPr="00E51638">
        <w:t xml:space="preserve"> </w:t>
      </w:r>
    </w:p>
    <w:p w14:paraId="2EE893BF" w14:textId="483E308B" w:rsidR="003B15E1" w:rsidRPr="00E51638" w:rsidRDefault="00F260B9" w:rsidP="004D2BD5">
      <w:pPr>
        <w:pStyle w:val="Prrafo"/>
        <w:ind w:left="567"/>
      </w:pPr>
      <w:r w:rsidRPr="00E51638">
        <w:t xml:space="preserve">De igual forma, </w:t>
      </w:r>
      <w:r w:rsidR="00F044A5" w:rsidRPr="00E51638">
        <w:t xml:space="preserve">se recuerda que </w:t>
      </w:r>
      <w:r w:rsidR="000B7AC0" w:rsidRPr="00E51638">
        <w:t>es criterio de este Alto Tribunal que el artículo 116, fracción III, constitucional, instituye el deber del legislador</w:t>
      </w:r>
      <w:r w:rsidR="003863D9" w:rsidRPr="00E51638">
        <w:t xml:space="preserve"> </w:t>
      </w:r>
      <w:r w:rsidR="000B7AC0" w:rsidRPr="00E51638">
        <w:t>de establecer y garantizar la autonomía e independencia judicial, lo que se traduce en el mandato constitucional de garantizar esos contenidos</w:t>
      </w:r>
      <w:r w:rsidR="00F34BF3" w:rsidRPr="00E51638">
        <w:t xml:space="preserve"> que, a su vez, </w:t>
      </w:r>
      <w:r w:rsidR="000B7AC0" w:rsidRPr="00E51638">
        <w:t>significa para el legislador ordinario un principio general que presume la necesaria permanencia de los elementos y las previsiones existentes, bajo una exigencia razonable de no regresividad</w:t>
      </w:r>
      <w:r w:rsidR="00585359" w:rsidRPr="00E51638">
        <w:t>; criterio que incumple el decreto impugnado</w:t>
      </w:r>
      <w:r w:rsidRPr="00E51638">
        <w:t xml:space="preserve">, </w:t>
      </w:r>
      <w:r w:rsidR="003B15E1" w:rsidRPr="00E51638">
        <w:rPr>
          <w:u w:val="single"/>
        </w:rPr>
        <w:t xml:space="preserve">al evitar el ejercicio de la jurisdicción de la Sala Superior del Tribunal Electoral del Poder Judicial de la Federación sobre </w:t>
      </w:r>
      <w:r w:rsidR="00F34BF3" w:rsidRPr="00E51638">
        <w:rPr>
          <w:u w:val="single"/>
        </w:rPr>
        <w:t>los</w:t>
      </w:r>
      <w:r w:rsidR="003B15E1" w:rsidRPr="00E51638">
        <w:rPr>
          <w:u w:val="single"/>
        </w:rPr>
        <w:t xml:space="preserve"> actos parlamentarios</w:t>
      </w:r>
      <w:r w:rsidR="003B15E1" w:rsidRPr="00E51638">
        <w:t xml:space="preserve">, </w:t>
      </w:r>
      <w:r w:rsidR="00585359" w:rsidRPr="00E51638">
        <w:t>a</w:t>
      </w:r>
      <w:r w:rsidR="00342507" w:rsidRPr="00E51638">
        <w:t>ú</w:t>
      </w:r>
      <w:r w:rsidR="00585359" w:rsidRPr="00E51638">
        <w:t>n</w:t>
      </w:r>
      <w:r w:rsidR="003B15E1" w:rsidRPr="00E51638">
        <w:t xml:space="preserve"> cuando </w:t>
      </w:r>
      <w:r w:rsidR="000E4944" w:rsidRPr="00E51638">
        <w:t xml:space="preserve">su procedencia </w:t>
      </w:r>
      <w:r w:rsidR="00585359" w:rsidRPr="00E51638">
        <w:t xml:space="preserve">se encontraba </w:t>
      </w:r>
      <w:r w:rsidR="003B15E1" w:rsidRPr="00E51638">
        <w:t>establecid</w:t>
      </w:r>
      <w:r w:rsidR="000E4944" w:rsidRPr="00E51638">
        <w:t>a</w:t>
      </w:r>
      <w:r w:rsidR="003B15E1" w:rsidRPr="00E51638">
        <w:t xml:space="preserve"> </w:t>
      </w:r>
      <w:r w:rsidR="00585359" w:rsidRPr="00E51638">
        <w:t>en su</w:t>
      </w:r>
      <w:r w:rsidR="003B15E1" w:rsidRPr="00E51638">
        <w:t xml:space="preserve"> jurisprudencia. </w:t>
      </w:r>
    </w:p>
    <w:p w14:paraId="75462978" w14:textId="5C844E6C" w:rsidR="0004603C" w:rsidRPr="00E51638" w:rsidRDefault="00F044A5" w:rsidP="004D2BD5">
      <w:pPr>
        <w:pStyle w:val="Prrafo"/>
        <w:numPr>
          <w:ilvl w:val="1"/>
          <w:numId w:val="6"/>
        </w:numPr>
        <w:ind w:left="567"/>
      </w:pPr>
      <w:r w:rsidRPr="00E51638">
        <w:rPr>
          <w:b/>
          <w:bCs/>
        </w:rPr>
        <w:t>Tercero. Violaciones al principio de división de poderes.</w:t>
      </w:r>
      <w:r w:rsidRPr="00E51638">
        <w:t xml:space="preserve"> </w:t>
      </w:r>
      <w:r w:rsidR="0004603C" w:rsidRPr="00E51638">
        <w:t xml:space="preserve">El partido Movimiento Ciudadano sostiene que la reforma impugnada </w:t>
      </w:r>
      <w:r w:rsidR="003252ED" w:rsidRPr="00E51638">
        <w:t xml:space="preserve">atenta contra el </w:t>
      </w:r>
      <w:r w:rsidR="003252ED" w:rsidRPr="00E51638">
        <w:lastRenderedPageBreak/>
        <w:t>principio de división de poderes previsto en el artículo 49 de la Constitución General, pues limita las facultades del Tribunal Electoral del Poder Judicial de la Federación.</w:t>
      </w:r>
    </w:p>
    <w:p w14:paraId="7AD197A8" w14:textId="7511ED75" w:rsidR="00ED1F20" w:rsidRPr="00E51638" w:rsidRDefault="0004603C" w:rsidP="004D2BD5">
      <w:pPr>
        <w:pStyle w:val="Prrafo"/>
        <w:numPr>
          <w:ilvl w:val="1"/>
          <w:numId w:val="6"/>
        </w:numPr>
        <w:ind w:left="567"/>
      </w:pPr>
      <w:r w:rsidRPr="00E51638">
        <w:rPr>
          <w:b/>
          <w:bCs/>
        </w:rPr>
        <w:t xml:space="preserve">Cuarto. Afectaciones al orden democrático. </w:t>
      </w:r>
      <w:r w:rsidR="0004061C" w:rsidRPr="00E51638">
        <w:t xml:space="preserve">La norma impugnada </w:t>
      </w:r>
      <w:r w:rsidR="00ED1F20" w:rsidRPr="00E51638">
        <w:t xml:space="preserve">vulnera el orden democrático mexicano (integrado por la obligación del Estado </w:t>
      </w:r>
      <w:r w:rsidR="00C7099E">
        <w:t>M</w:t>
      </w:r>
      <w:r w:rsidR="00ED1F20" w:rsidRPr="00E51638">
        <w:t>exicano de proteger la participación de la ciudadanía en la vida pública y en la democracia del País).</w:t>
      </w:r>
    </w:p>
    <w:p w14:paraId="3A153BB3" w14:textId="68C996C6" w:rsidR="00901226" w:rsidRPr="00E51638" w:rsidRDefault="00ED1F20" w:rsidP="004D2BD5">
      <w:pPr>
        <w:pStyle w:val="Prrafo"/>
        <w:ind w:left="567"/>
      </w:pPr>
      <w:r w:rsidRPr="00E51638">
        <w:t xml:space="preserve">Así, sostiene que el decreto impugnado </w:t>
      </w:r>
      <w:r w:rsidR="0004061C" w:rsidRPr="00E51638">
        <w:rPr>
          <w:u w:val="single"/>
        </w:rPr>
        <w:t xml:space="preserve">viola </w:t>
      </w:r>
      <w:r w:rsidR="00901226" w:rsidRPr="00E51638">
        <w:rPr>
          <w:u w:val="single"/>
        </w:rPr>
        <w:t>los</w:t>
      </w:r>
      <w:r w:rsidR="0004061C" w:rsidRPr="00E51638">
        <w:rPr>
          <w:u w:val="single"/>
        </w:rPr>
        <w:t xml:space="preserve"> derecho</w:t>
      </w:r>
      <w:r w:rsidR="00901226" w:rsidRPr="00E51638">
        <w:rPr>
          <w:u w:val="single"/>
        </w:rPr>
        <w:t>s</w:t>
      </w:r>
      <w:r w:rsidR="0004061C" w:rsidRPr="00E51638">
        <w:rPr>
          <w:u w:val="single"/>
        </w:rPr>
        <w:t xml:space="preserve"> </w:t>
      </w:r>
      <w:r w:rsidR="00901226" w:rsidRPr="00E51638">
        <w:rPr>
          <w:u w:val="single"/>
        </w:rPr>
        <w:t>de votar y de</w:t>
      </w:r>
      <w:r w:rsidR="0004061C" w:rsidRPr="00E51638">
        <w:rPr>
          <w:u w:val="single"/>
        </w:rPr>
        <w:t xml:space="preserve"> ser votado, así como </w:t>
      </w:r>
      <w:r w:rsidR="0010005F" w:rsidRPr="00E51638">
        <w:rPr>
          <w:u w:val="single"/>
        </w:rPr>
        <w:t xml:space="preserve">el </w:t>
      </w:r>
      <w:r w:rsidR="0004061C" w:rsidRPr="00E51638">
        <w:rPr>
          <w:u w:val="single"/>
        </w:rPr>
        <w:t xml:space="preserve">de acceso y ejercicio </w:t>
      </w:r>
      <w:r w:rsidR="0010005F" w:rsidRPr="00E51638">
        <w:rPr>
          <w:u w:val="single"/>
        </w:rPr>
        <w:t>a</w:t>
      </w:r>
      <w:r w:rsidR="0004061C" w:rsidRPr="00E51638">
        <w:rPr>
          <w:u w:val="single"/>
        </w:rPr>
        <w:t xml:space="preserve">l cargo </w:t>
      </w:r>
      <w:r w:rsidR="0010005F" w:rsidRPr="00E51638">
        <w:rPr>
          <w:u w:val="single"/>
        </w:rPr>
        <w:t xml:space="preserve">público </w:t>
      </w:r>
      <w:r w:rsidR="0004061C" w:rsidRPr="00E51638">
        <w:rPr>
          <w:u w:val="single"/>
        </w:rPr>
        <w:t xml:space="preserve">en condiciones de </w:t>
      </w:r>
      <w:r w:rsidR="00783C07" w:rsidRPr="00E51638">
        <w:rPr>
          <w:u w:val="single"/>
        </w:rPr>
        <w:t>igualdad</w:t>
      </w:r>
      <w:r w:rsidR="00783C07" w:rsidRPr="00E51638">
        <w:t xml:space="preserve">, </w:t>
      </w:r>
      <w:r w:rsidR="00901226" w:rsidRPr="00E51638">
        <w:t xml:space="preserve">pues existen múltiples actos parlamentarios emanados del Congreso de la Unión o de sus </w:t>
      </w:r>
      <w:r w:rsidR="00B376DB" w:rsidRPr="00E51638">
        <w:t>Cámaras</w:t>
      </w:r>
      <w:r w:rsidR="00901226" w:rsidRPr="00E51638">
        <w:t>, emitidos por sus órganos de gobierno, concernientes a la integración, organización y funcionamiento internos de sus órganos y comisiones legislativas, que pueden afectar derechos político-electorales de la ciudadanía o el sistema democrático en sí mismo</w:t>
      </w:r>
      <w:r w:rsidR="004E3A3D" w:rsidRPr="00E51638">
        <w:t xml:space="preserve">; por tanto, no existe justificación para que esos actos, cuando se constituyan como decisiones eminentemente jurídicas que puedan tener una incidencia en los derechos político-electorales, no puedan protegerse vía jurisdiccional. </w:t>
      </w:r>
    </w:p>
    <w:p w14:paraId="57CC8C32" w14:textId="2B0EA3F1" w:rsidR="00DD1E59" w:rsidRPr="00E51638" w:rsidRDefault="00DD1E59" w:rsidP="004D2BD5">
      <w:pPr>
        <w:pStyle w:val="Prrafo"/>
        <w:ind w:left="567"/>
      </w:pPr>
      <w:r w:rsidRPr="00E51638">
        <w:t>Lo anterior, porque la norma impugnada hace una limitación indebida del artículo 99 constitucional que prevé las atribuciones del Tribunal Electoral del Poder Judicial de la Federación como máxima autoridad jurisdiccional de la materia para tutelar los derechos político-electorales en casos concretos</w:t>
      </w:r>
      <w:r w:rsidR="00D17180" w:rsidRPr="00E51638">
        <w:t xml:space="preserve">. </w:t>
      </w:r>
      <w:r w:rsidRPr="00E51638">
        <w:t>Además, ese límite también veda el derecho de las personas a ser debidamente representadas por sus representantes electos democráticamente.</w:t>
      </w:r>
    </w:p>
    <w:p w14:paraId="3529B471" w14:textId="19432C94" w:rsidR="00C25E98" w:rsidRPr="00E51638" w:rsidRDefault="00530CC2" w:rsidP="004D2BD5">
      <w:pPr>
        <w:pStyle w:val="Prrafo"/>
        <w:numPr>
          <w:ilvl w:val="1"/>
          <w:numId w:val="6"/>
        </w:numPr>
        <w:ind w:left="567"/>
      </w:pPr>
      <w:r w:rsidRPr="00E51638">
        <w:rPr>
          <w:b/>
          <w:bCs/>
        </w:rPr>
        <w:t>Quinto</w:t>
      </w:r>
      <w:r w:rsidR="00DD1E59" w:rsidRPr="00E51638">
        <w:rPr>
          <w:b/>
          <w:bCs/>
        </w:rPr>
        <w:t>. Violación al derecho a la justicia.</w:t>
      </w:r>
      <w:r w:rsidR="00DD1E59" w:rsidRPr="00E51638">
        <w:t xml:space="preserve"> </w:t>
      </w:r>
      <w:r w:rsidR="00867DC2" w:rsidRPr="00E51638">
        <w:t>La adición normativa impugnada incumple</w:t>
      </w:r>
      <w:r w:rsidR="005F2652" w:rsidRPr="00E51638">
        <w:t xml:space="preserve"> con</w:t>
      </w:r>
      <w:r w:rsidR="00867DC2" w:rsidRPr="00E51638">
        <w:t xml:space="preserve"> la </w:t>
      </w:r>
      <w:r w:rsidR="00867DC2" w:rsidRPr="00E51638">
        <w:rPr>
          <w:u w:val="single"/>
        </w:rPr>
        <w:t xml:space="preserve">obligación del Estado </w:t>
      </w:r>
      <w:r w:rsidR="00C7099E">
        <w:rPr>
          <w:u w:val="single"/>
        </w:rPr>
        <w:t>M</w:t>
      </w:r>
      <w:r w:rsidR="00867DC2" w:rsidRPr="00E51638">
        <w:rPr>
          <w:u w:val="single"/>
        </w:rPr>
        <w:t>exicano de prever un recurso judicial efectivo en contra de actos parlamentarios</w:t>
      </w:r>
      <w:r w:rsidR="00867DC2" w:rsidRPr="00E51638">
        <w:t xml:space="preserve"> que resulten violatorios de los derechos político</w:t>
      </w:r>
      <w:r w:rsidR="00DD4FDE" w:rsidRPr="00E51638">
        <w:t>-</w:t>
      </w:r>
      <w:r w:rsidR="00867DC2" w:rsidRPr="00E51638">
        <w:t>electorales</w:t>
      </w:r>
      <w:r w:rsidR="002363BC" w:rsidRPr="00E51638">
        <w:t xml:space="preserve"> (particularmente de las minorías)</w:t>
      </w:r>
      <w:r w:rsidR="00D17180" w:rsidRPr="00E51638">
        <w:t xml:space="preserve">. </w:t>
      </w:r>
      <w:r w:rsidR="00C25E98" w:rsidRPr="00E51638">
        <w:t xml:space="preserve">En consecuencia, también considera vulnerados los derechos de </w:t>
      </w:r>
      <w:r w:rsidR="00C25E98" w:rsidRPr="00E51638">
        <w:lastRenderedPageBreak/>
        <w:t>audiencia, debida defensa, protección judicial, tutela judicial efectiva, ac</w:t>
      </w:r>
      <w:r w:rsidR="00342507" w:rsidRPr="00E51638">
        <w:t>c</w:t>
      </w:r>
      <w:r w:rsidR="00C25E98" w:rsidRPr="00E51638">
        <w:t>eso a la justicia y a un recurso efectivo.</w:t>
      </w:r>
    </w:p>
    <w:p w14:paraId="5D3E778B" w14:textId="3AFCE4EB" w:rsidR="00C25E98" w:rsidRPr="00E51638" w:rsidRDefault="00C25E98" w:rsidP="004D2BD5">
      <w:pPr>
        <w:pStyle w:val="Prrafo"/>
        <w:ind w:left="567"/>
      </w:pPr>
      <w:r w:rsidRPr="00E51638">
        <w:t>De este modo, Movimiento Ciudadano arguye que</w:t>
      </w:r>
      <w:r w:rsidR="000A61D5" w:rsidRPr="00E51638">
        <w:t xml:space="preserve"> la reforma impugnada impide de forma total el ejercicio de los recursos judiciales en asuntos parlamentarios con implicaciones eminentemente constitucionales y electorales, lo cual es contrario a la Constitución General y a la Convención Americana de Derechos Humanos.</w:t>
      </w:r>
    </w:p>
    <w:p w14:paraId="12E6EC2E" w14:textId="320B2AE4" w:rsidR="000A61D5" w:rsidRPr="00E51638" w:rsidRDefault="000A61D5" w:rsidP="004D2BD5">
      <w:pPr>
        <w:pStyle w:val="Prrafo"/>
        <w:ind w:left="567"/>
      </w:pPr>
      <w:r w:rsidRPr="00E51638">
        <w:t xml:space="preserve">En este sentido, apoyándose en la jurisprudencia de la Corte Interamericana de Derechos Humanos (particularmente en el </w:t>
      </w:r>
      <w:r w:rsidRPr="00E51638">
        <w:rPr>
          <w:i/>
          <w:iCs/>
        </w:rPr>
        <w:t>caso Castañeda Gutman vs México)</w:t>
      </w:r>
      <w:r w:rsidRPr="00E51638">
        <w:t>, considera que el Estado Mexicano se encuentra obligado a contemplar un recurso efectivo que permita a las personas impugnar los actos que consideren violatorios de sus derechos humanos.</w:t>
      </w:r>
    </w:p>
    <w:p w14:paraId="34345D38" w14:textId="1534C3E8" w:rsidR="000A61D5" w:rsidRPr="00E51638" w:rsidRDefault="000A61D5" w:rsidP="004D2BD5">
      <w:pPr>
        <w:pStyle w:val="Prrafo"/>
        <w:ind w:left="567"/>
      </w:pPr>
      <w:r w:rsidRPr="00E51638">
        <w:t>Por tanto, la reforma impugnada impide la tutela de los actos parlamentarios con implicaciones electorales y, por el contrario, declara improcedente la judicialización de estos actos en forma genérica y abstracta, lo cual restringe el derecho a un recurso judicial efectivo.</w:t>
      </w:r>
    </w:p>
    <w:p w14:paraId="52E7AFBE" w14:textId="65C1F658" w:rsidR="002363BC" w:rsidRPr="00E51638" w:rsidRDefault="00530CC2" w:rsidP="004D2BD5">
      <w:pPr>
        <w:pStyle w:val="Prrafo"/>
        <w:numPr>
          <w:ilvl w:val="1"/>
          <w:numId w:val="6"/>
        </w:numPr>
        <w:ind w:left="567"/>
      </w:pPr>
      <w:r w:rsidRPr="00E51638">
        <w:rPr>
          <w:b/>
          <w:bCs/>
        </w:rPr>
        <w:t>Sexto</w:t>
      </w:r>
      <w:r w:rsidR="00F63DC6" w:rsidRPr="00E51638">
        <w:rPr>
          <w:b/>
          <w:bCs/>
        </w:rPr>
        <w:t>. Violaciones al principio de progresividad.</w:t>
      </w:r>
      <w:r w:rsidR="00F63DC6" w:rsidRPr="00E51638">
        <w:t xml:space="preserve"> </w:t>
      </w:r>
      <w:r w:rsidR="00270145" w:rsidRPr="00E51638">
        <w:t>Finalmente, considera que existe</w:t>
      </w:r>
      <w:r w:rsidR="00626889" w:rsidRPr="00E51638">
        <w:t xml:space="preserve"> una violación al principio de progresividad, con motivo de la regresión del estándar de garantía de derechos político</w:t>
      </w:r>
      <w:r w:rsidR="00334A02" w:rsidRPr="00E51638">
        <w:t>-</w:t>
      </w:r>
      <w:r w:rsidR="00626889" w:rsidRPr="00E51638">
        <w:t xml:space="preserve">electorales establecido por la </w:t>
      </w:r>
      <w:r w:rsidR="00626889" w:rsidRPr="00E51638">
        <w:rPr>
          <w:bCs/>
        </w:rPr>
        <w:t>Sala Superior del Tribunal Electoral del Poder Judicial de la Federación en la jurisprudencia 2/2022</w:t>
      </w:r>
      <w:r w:rsidR="005A5590" w:rsidRPr="00E51638">
        <w:rPr>
          <w:bCs/>
        </w:rPr>
        <w:t xml:space="preserve">, </w:t>
      </w:r>
      <w:r w:rsidR="00270145" w:rsidRPr="00E51638">
        <w:rPr>
          <w:bCs/>
        </w:rPr>
        <w:t>de rubro: “</w:t>
      </w:r>
      <w:r w:rsidR="00270145" w:rsidRPr="00E51638">
        <w:rPr>
          <w:i/>
          <w:iCs/>
        </w:rPr>
        <w:t>ACTOS PARLAMENTARIOS. SON REVISABLES EN SEDE JURISDICCIONAL ELECTORAL, CUANDO VULNERAN EL DERECHO HUMANO DE ÍNDOLE POLÍTICO-ELECTORAL DE SER VOTADO, EN SU VERTIENTE DE EJERCICIO EFECTIVO DEL CARGO Y DE REPRESENTACIÓN DE LA CIUDADANÍA</w:t>
      </w:r>
      <w:r w:rsidR="00270145" w:rsidRPr="00E51638">
        <w:t xml:space="preserve">”, </w:t>
      </w:r>
      <w:r w:rsidR="005A5590" w:rsidRPr="00E51638">
        <w:rPr>
          <w:bCs/>
        </w:rPr>
        <w:t>sin que la autoridad legislativa haya justificado plenamente esa decisión</w:t>
      </w:r>
      <w:r w:rsidR="007C0A05" w:rsidRPr="00E51638">
        <w:rPr>
          <w:bCs/>
        </w:rPr>
        <w:t>.</w:t>
      </w:r>
    </w:p>
    <w:p w14:paraId="73FBB150" w14:textId="13CF38DB" w:rsidR="00025855" w:rsidRPr="00E51638" w:rsidRDefault="00F15FD9" w:rsidP="00E41173">
      <w:pPr>
        <w:pStyle w:val="Prrafo"/>
        <w:numPr>
          <w:ilvl w:val="0"/>
          <w:numId w:val="6"/>
        </w:numPr>
        <w:ind w:left="0" w:hanging="567"/>
      </w:pPr>
      <w:r w:rsidRPr="00E51638">
        <w:rPr>
          <w:b/>
        </w:rPr>
        <w:lastRenderedPageBreak/>
        <w:t>Admisión y trámite</w:t>
      </w:r>
      <w:r w:rsidR="00D225F4" w:rsidRPr="00E51638">
        <w:rPr>
          <w:b/>
        </w:rPr>
        <w:t xml:space="preserve"> de la acción de inconstitucionalidad 62/2022</w:t>
      </w:r>
      <w:r w:rsidRPr="00E51638">
        <w:rPr>
          <w:b/>
        </w:rPr>
        <w:t>.</w:t>
      </w:r>
      <w:r w:rsidR="00E41173" w:rsidRPr="00E51638">
        <w:rPr>
          <w:b/>
        </w:rPr>
        <w:t xml:space="preserve"> </w:t>
      </w:r>
      <w:r w:rsidR="00E41173" w:rsidRPr="00E51638">
        <w:t>Por acuerdo de veinti</w:t>
      </w:r>
      <w:r w:rsidR="00025855" w:rsidRPr="00E51638">
        <w:t>nueve de abril de dos mil veintidós</w:t>
      </w:r>
      <w:r w:rsidR="00E41173" w:rsidRPr="00E51638">
        <w:t xml:space="preserve">, el </w:t>
      </w:r>
      <w:r w:rsidR="002817F7" w:rsidRPr="00E51638">
        <w:t>M</w:t>
      </w:r>
      <w:r w:rsidR="00E41173" w:rsidRPr="00E51638">
        <w:t xml:space="preserve">inistro </w:t>
      </w:r>
      <w:r w:rsidR="002817F7" w:rsidRPr="00E51638">
        <w:t>P</w:t>
      </w:r>
      <w:r w:rsidR="00E41173" w:rsidRPr="00E51638">
        <w:t xml:space="preserve">residente de la Suprema Corte de Justicia de la Nación tuvo por recibido el escrito de demanda y sus anexos; ordenó formar el expediente físico y electrónico de la presente acción de inconstitucionalidad bajo el número </w:t>
      </w:r>
      <w:r w:rsidR="00025855" w:rsidRPr="00E51638">
        <w:t>62</w:t>
      </w:r>
      <w:r w:rsidR="00E41173" w:rsidRPr="00E51638">
        <w:t>/202</w:t>
      </w:r>
      <w:r w:rsidR="00025855" w:rsidRPr="00E51638">
        <w:t>2</w:t>
      </w:r>
      <w:r w:rsidR="00E41173" w:rsidRPr="00E51638">
        <w:t xml:space="preserve">, y lo turnó al </w:t>
      </w:r>
      <w:r w:rsidR="002817F7" w:rsidRPr="00E51638">
        <w:t>M</w:t>
      </w:r>
      <w:r w:rsidR="00E41173" w:rsidRPr="00E51638">
        <w:t>inistro Luis María Aguilar Morales, para que fungiera como instructor del procedimiento.</w:t>
      </w:r>
    </w:p>
    <w:p w14:paraId="5285ED0C" w14:textId="11AD77F8" w:rsidR="00E41173" w:rsidRPr="00E51638" w:rsidRDefault="00025855" w:rsidP="00E41173">
      <w:pPr>
        <w:pStyle w:val="Prrafo"/>
        <w:numPr>
          <w:ilvl w:val="0"/>
          <w:numId w:val="6"/>
        </w:numPr>
        <w:ind w:left="0" w:hanging="567"/>
      </w:pPr>
      <w:r w:rsidRPr="00E51638">
        <w:t xml:space="preserve">Posteriormente, ante la ausencia </w:t>
      </w:r>
      <w:r w:rsidR="007D7C4C" w:rsidRPr="00E51638">
        <w:t xml:space="preserve">justificada </w:t>
      </w:r>
      <w:r w:rsidRPr="00E51638">
        <w:t xml:space="preserve">del </w:t>
      </w:r>
      <w:r w:rsidR="002817F7" w:rsidRPr="00E51638">
        <w:t>M</w:t>
      </w:r>
      <w:r w:rsidRPr="00E51638">
        <w:t>inistro instructor, media</w:t>
      </w:r>
      <w:r w:rsidR="001D0386" w:rsidRPr="00E51638">
        <w:t>n</w:t>
      </w:r>
      <w:r w:rsidRPr="00E51638">
        <w:t xml:space="preserve">te acuerdo de once de mayo </w:t>
      </w:r>
      <w:r w:rsidR="00D1037B">
        <w:t xml:space="preserve">de dos mil veintidós </w:t>
      </w:r>
      <w:r w:rsidRPr="00E51638">
        <w:t xml:space="preserve">el </w:t>
      </w:r>
      <w:r w:rsidR="002817F7" w:rsidRPr="00E51638">
        <w:t>M</w:t>
      </w:r>
      <w:r w:rsidRPr="00E51638">
        <w:t xml:space="preserve">inistro </w:t>
      </w:r>
      <w:r w:rsidR="002817F7" w:rsidRPr="00E51638">
        <w:t>P</w:t>
      </w:r>
      <w:r w:rsidRPr="00E51638">
        <w:t xml:space="preserve">residente envió los autos al </w:t>
      </w:r>
      <w:r w:rsidR="002817F7" w:rsidRPr="00E51638">
        <w:t>M</w:t>
      </w:r>
      <w:r w:rsidRPr="00E51638">
        <w:t xml:space="preserve">inistro Javier Laynez Potisek, a efecto de que </w:t>
      </w:r>
      <w:r w:rsidR="007D7C4C" w:rsidRPr="00E51638">
        <w:t>continuara con</w:t>
      </w:r>
      <w:r w:rsidRPr="00E51638">
        <w:t xml:space="preserve"> la tramitación hasta en tanto el </w:t>
      </w:r>
      <w:r w:rsidR="002817F7" w:rsidRPr="00E51638">
        <w:t>M</w:t>
      </w:r>
      <w:r w:rsidRPr="00E51638">
        <w:t xml:space="preserve">inistro instructor se reincorporara a sus actividades. </w:t>
      </w:r>
    </w:p>
    <w:p w14:paraId="192CAFF2" w14:textId="6D402BD6" w:rsidR="006B1442" w:rsidRPr="00E51638" w:rsidRDefault="00E41173" w:rsidP="00E41173">
      <w:pPr>
        <w:pStyle w:val="Prrafo"/>
        <w:numPr>
          <w:ilvl w:val="0"/>
          <w:numId w:val="6"/>
        </w:numPr>
        <w:ind w:left="0" w:hanging="567"/>
      </w:pPr>
      <w:r w:rsidRPr="00E51638">
        <w:t xml:space="preserve">El </w:t>
      </w:r>
      <w:r w:rsidR="00025855" w:rsidRPr="00E51638">
        <w:t xml:space="preserve">once de mayo de dos mil veintidós, el </w:t>
      </w:r>
      <w:r w:rsidR="002817F7" w:rsidRPr="00E51638">
        <w:t>M</w:t>
      </w:r>
      <w:r w:rsidR="00025855" w:rsidRPr="00E51638">
        <w:t xml:space="preserve">inistro Javier Laynez Potisek, en suplencia del </w:t>
      </w:r>
      <w:r w:rsidR="002817F7" w:rsidRPr="00E51638">
        <w:t>M</w:t>
      </w:r>
      <w:r w:rsidR="00025855" w:rsidRPr="00E51638">
        <w:t xml:space="preserve">inistro instructor Luis María Aguilar Morales, </w:t>
      </w:r>
      <w:r w:rsidR="006B1442" w:rsidRPr="00E51638">
        <w:t xml:space="preserve">reconoció personalidad a los promoventes </w:t>
      </w:r>
      <w:r w:rsidR="00467847" w:rsidRPr="00E51638">
        <w:t xml:space="preserve">y </w:t>
      </w:r>
      <w:r w:rsidR="00025855" w:rsidRPr="00E51638">
        <w:t>admitió a trámite la acción de inconstitucionalidad</w:t>
      </w:r>
      <w:r w:rsidR="00F56DCB" w:rsidRPr="00E51638">
        <w:t xml:space="preserve">; </w:t>
      </w:r>
      <w:r w:rsidR="006B1442" w:rsidRPr="00E51638">
        <w:t xml:space="preserve">asimismo, </w:t>
      </w:r>
      <w:r w:rsidR="00467847" w:rsidRPr="00E51638">
        <w:t>ordenó dar vista al Poder Ejecutivo Federal, así como a las Cámaras de Diputados y Senadores del Congreso de la Unión</w:t>
      </w:r>
      <w:r w:rsidR="00496152" w:rsidRPr="00E51638">
        <w:t>, a efecto de que rindieran su informe y remitieran copia certificada de los antecedentes legislativos de la norma general impugnada</w:t>
      </w:r>
      <w:r w:rsidR="006B1442" w:rsidRPr="00E51638">
        <w:t>.</w:t>
      </w:r>
    </w:p>
    <w:p w14:paraId="66CA5058" w14:textId="67AFC03A" w:rsidR="00401322" w:rsidRPr="00E51638" w:rsidRDefault="006B1442" w:rsidP="00401322">
      <w:pPr>
        <w:pStyle w:val="Prrafo"/>
        <w:numPr>
          <w:ilvl w:val="0"/>
          <w:numId w:val="6"/>
        </w:numPr>
        <w:ind w:left="0" w:hanging="567"/>
      </w:pPr>
      <w:r w:rsidRPr="00E51638">
        <w:t xml:space="preserve">De igual forma, </w:t>
      </w:r>
      <w:r w:rsidR="00496152" w:rsidRPr="00E51638">
        <w:t xml:space="preserve">ordenó dar vista a la Fiscalía General de la República para que formulara el </w:t>
      </w:r>
      <w:r w:rsidR="00B82FF8" w:rsidRPr="00E51638">
        <w:t>pedimento</w:t>
      </w:r>
      <w:r w:rsidR="00496152" w:rsidRPr="00E51638">
        <w:t xml:space="preserve"> que a su representación correspondiera</w:t>
      </w:r>
      <w:r w:rsidR="0022684D" w:rsidRPr="00E51638">
        <w:t>;</w:t>
      </w:r>
      <w:r w:rsidRPr="00E51638">
        <w:t xml:space="preserve"> asimismo,</w:t>
      </w:r>
      <w:r w:rsidR="00892897" w:rsidRPr="00E51638">
        <w:t xml:space="preserve"> solicitó al Presidente del Instituto Nacional Electoral copia certificada de los estatutos vigentes del partido político accionante, una certificación de su registro vigente y</w:t>
      </w:r>
      <w:r w:rsidRPr="00E51638">
        <w:t xml:space="preserve"> que</w:t>
      </w:r>
      <w:r w:rsidR="00892897" w:rsidRPr="00E51638">
        <w:t xml:space="preserve"> precisara la integración del órgano de dirección nacional</w:t>
      </w:r>
      <w:r w:rsidR="005D42BD" w:rsidRPr="00E51638">
        <w:t xml:space="preserve"> a</w:t>
      </w:r>
      <w:r w:rsidR="00AF293D" w:rsidRPr="00E51638">
        <w:t xml:space="preserve"> </w:t>
      </w:r>
      <w:r w:rsidR="005D42BD" w:rsidRPr="00E51638">
        <w:t>l</w:t>
      </w:r>
      <w:r w:rsidR="00AF293D" w:rsidRPr="00E51638">
        <w:t>a</w:t>
      </w:r>
      <w:r w:rsidR="005D42BD" w:rsidRPr="00E51638">
        <w:t xml:space="preserve"> f</w:t>
      </w:r>
      <w:r w:rsidR="007E2AB7" w:rsidRPr="00E51638">
        <w:t xml:space="preserve">echa </w:t>
      </w:r>
      <w:r w:rsidR="005D42BD" w:rsidRPr="00E51638">
        <w:t>de presentación de la demanda</w:t>
      </w:r>
      <w:r w:rsidR="00892897" w:rsidRPr="00E51638">
        <w:t>; finalmente, solicitó a la Sala Superior del Tribunal Electoral del Poder Judicial de la Federación expresara su opinión en relación con este medio de control constitucional.</w:t>
      </w:r>
      <w:bookmarkStart w:id="11" w:name="_Hlk45890844"/>
    </w:p>
    <w:p w14:paraId="25D646CF" w14:textId="16001AA1" w:rsidR="006A419C" w:rsidRPr="00E51638" w:rsidRDefault="002817F7" w:rsidP="005745B0">
      <w:pPr>
        <w:pStyle w:val="Prrafo"/>
        <w:numPr>
          <w:ilvl w:val="0"/>
          <w:numId w:val="6"/>
        </w:numPr>
        <w:ind w:left="0" w:hanging="567"/>
      </w:pPr>
      <w:r w:rsidRPr="00E51638">
        <w:rPr>
          <w:b/>
          <w:bCs/>
        </w:rPr>
        <w:t>Comienzo</w:t>
      </w:r>
      <w:r w:rsidR="004814A0" w:rsidRPr="00E51638">
        <w:rPr>
          <w:b/>
          <w:bCs/>
        </w:rPr>
        <w:t xml:space="preserve"> del próximo proceso electoral</w:t>
      </w:r>
      <w:r w:rsidR="006A419C" w:rsidRPr="00E51638">
        <w:rPr>
          <w:b/>
          <w:bCs/>
        </w:rPr>
        <w:t>.</w:t>
      </w:r>
      <w:r w:rsidR="006A419C" w:rsidRPr="00E51638">
        <w:t xml:space="preserve"> </w:t>
      </w:r>
      <w:r w:rsidR="00401322" w:rsidRPr="00E51638">
        <w:t xml:space="preserve">Mediante oficio </w:t>
      </w:r>
      <w:r w:rsidR="00A170A7" w:rsidRPr="00E51638">
        <w:t xml:space="preserve">número INE/DJ/5889/2022, </w:t>
      </w:r>
      <w:r w:rsidR="00401322" w:rsidRPr="00E51638">
        <w:t xml:space="preserve">recibido el </w:t>
      </w:r>
      <w:r w:rsidR="00A435F0" w:rsidRPr="00E51638">
        <w:t xml:space="preserve">dieciséis de mayo de dos mil veintidós, el Director Jurídico del Instituto Nacional Electoral </w:t>
      </w:r>
      <w:r w:rsidR="005D42BD" w:rsidRPr="00E51638">
        <w:t>desahogó el requerimiento formulado en autos, al remitir copia certifica</w:t>
      </w:r>
      <w:r w:rsidR="00E90B07" w:rsidRPr="00E51638">
        <w:t>da</w:t>
      </w:r>
      <w:r w:rsidR="005D42BD" w:rsidRPr="00E51638">
        <w:t xml:space="preserve"> de los estatutos </w:t>
      </w:r>
      <w:r w:rsidR="00E90B07" w:rsidRPr="00E51638">
        <w:t xml:space="preserve">y </w:t>
      </w:r>
      <w:r w:rsidR="00215A0B" w:rsidRPr="00E51638">
        <w:t>d</w:t>
      </w:r>
      <w:r w:rsidR="00E90B07" w:rsidRPr="00E51638">
        <w:t xml:space="preserve">el </w:t>
      </w:r>
      <w:r w:rsidR="005D42BD" w:rsidRPr="00E51638">
        <w:t xml:space="preserve">registro </w:t>
      </w:r>
      <w:r w:rsidR="005745B0" w:rsidRPr="00E51638">
        <w:t>vigente</w:t>
      </w:r>
      <w:r w:rsidR="00E90B07" w:rsidRPr="00E51638">
        <w:t xml:space="preserve">, así como </w:t>
      </w:r>
      <w:r w:rsidR="00215A0B" w:rsidRPr="00E51638">
        <w:lastRenderedPageBreak/>
        <w:t xml:space="preserve">una certificación </w:t>
      </w:r>
      <w:r w:rsidR="00E90B07" w:rsidRPr="00E51638">
        <w:t>de la</w:t>
      </w:r>
      <w:r w:rsidR="005745B0" w:rsidRPr="00E51638">
        <w:t xml:space="preserve"> integración de la Comisión Operativa Nacional</w:t>
      </w:r>
      <w:r w:rsidR="00215A0B" w:rsidRPr="00E51638">
        <w:t>, todas referentes a</w:t>
      </w:r>
      <w:r w:rsidR="005745B0" w:rsidRPr="00E51638">
        <w:t>l partido político</w:t>
      </w:r>
      <w:r w:rsidR="007D7C4C" w:rsidRPr="00E51638">
        <w:t xml:space="preserve"> nacional</w:t>
      </w:r>
      <w:r w:rsidR="005745B0" w:rsidRPr="00E51638">
        <w:t xml:space="preserve"> Movimiento Ciudadano. </w:t>
      </w:r>
    </w:p>
    <w:p w14:paraId="4928E734" w14:textId="7B439F49" w:rsidR="00456BBB" w:rsidRPr="00E51638" w:rsidRDefault="00456BBB" w:rsidP="005745B0">
      <w:pPr>
        <w:pStyle w:val="Prrafo"/>
        <w:numPr>
          <w:ilvl w:val="0"/>
          <w:numId w:val="6"/>
        </w:numPr>
        <w:ind w:left="0" w:hanging="567"/>
      </w:pPr>
      <w:r w:rsidRPr="00E51638">
        <w:t xml:space="preserve">Mediante proveído de dieciséis de mayo de dos mil veintidós, el </w:t>
      </w:r>
      <w:r w:rsidR="002817F7" w:rsidRPr="00E51638">
        <w:t>M</w:t>
      </w:r>
      <w:r w:rsidRPr="00E51638">
        <w:t xml:space="preserve">inistro </w:t>
      </w:r>
      <w:r w:rsidR="002817F7" w:rsidRPr="00E51638">
        <w:t>P</w:t>
      </w:r>
      <w:r w:rsidRPr="00E51638">
        <w:t xml:space="preserve">residente devolvió los autos al </w:t>
      </w:r>
      <w:r w:rsidR="00B03985" w:rsidRPr="00E51638">
        <w:t>M</w:t>
      </w:r>
      <w:r w:rsidRPr="00E51638">
        <w:t xml:space="preserve">inistro instructor para que continuara con el trámite correspondiente y, por auto de dieciséis de mayo siguiente, el </w:t>
      </w:r>
      <w:r w:rsidR="00B03985" w:rsidRPr="00E51638">
        <w:t>M</w:t>
      </w:r>
      <w:r w:rsidRPr="00E51638">
        <w:t>inistro instructor tuvo al Instituto Nacional Electoral desah</w:t>
      </w:r>
      <w:r w:rsidR="00E90B07" w:rsidRPr="00E51638">
        <w:t xml:space="preserve">ogando </w:t>
      </w:r>
      <w:r w:rsidRPr="00E51638">
        <w:t xml:space="preserve">el requerimiento formulado en autos; asimismo, lo requirió a efecto de que informara la fecha en que </w:t>
      </w:r>
      <w:r w:rsidR="00CF77C6" w:rsidRPr="00E51638">
        <w:t>comenzará</w:t>
      </w:r>
      <w:r w:rsidRPr="00E51638">
        <w:t xml:space="preserve"> el próximo proceso electoral.</w:t>
      </w:r>
    </w:p>
    <w:p w14:paraId="0222B301" w14:textId="2A6EE332" w:rsidR="008C7B02" w:rsidRPr="00E51638" w:rsidRDefault="008C7B02" w:rsidP="005745B0">
      <w:pPr>
        <w:pStyle w:val="Prrafo"/>
        <w:numPr>
          <w:ilvl w:val="0"/>
          <w:numId w:val="6"/>
        </w:numPr>
        <w:ind w:left="0" w:hanging="567"/>
      </w:pPr>
      <w:r w:rsidRPr="00E51638">
        <w:t xml:space="preserve">Mediante oficio número INE/DJ/6234/2022, recibido el veintitrés de mayo de dos mil veintidós, el Director Jurídico del Instituto Nacional Electoral desahogó el requerimiento formulado en autos, al informar que </w:t>
      </w:r>
      <w:r w:rsidRPr="00E51638">
        <w:rPr>
          <w:b/>
          <w:bCs/>
          <w:u w:val="single"/>
        </w:rPr>
        <w:t xml:space="preserve">el proceso electoral federal ordinario </w:t>
      </w:r>
      <w:r w:rsidR="007D7C4C" w:rsidRPr="00E51638">
        <w:rPr>
          <w:b/>
          <w:bCs/>
          <w:u w:val="single"/>
        </w:rPr>
        <w:t>comenzará</w:t>
      </w:r>
      <w:r w:rsidRPr="00E51638">
        <w:rPr>
          <w:b/>
          <w:bCs/>
          <w:u w:val="single"/>
        </w:rPr>
        <w:t xml:space="preserve"> en septiembre del año previo de la elección, esto es, en septiembre de dos mil veintitrés</w:t>
      </w:r>
      <w:r w:rsidRPr="00E51638">
        <w:t xml:space="preserve">, refiriendo que, para el siguiente año, </w:t>
      </w:r>
      <w:r w:rsidRPr="00E51638">
        <w:rPr>
          <w:b/>
          <w:bCs/>
          <w:u w:val="single"/>
        </w:rPr>
        <w:t xml:space="preserve">también se realizarán dos procesos electorales locales en </w:t>
      </w:r>
      <w:r w:rsidR="00F1111D">
        <w:rPr>
          <w:b/>
          <w:bCs/>
          <w:u w:val="single"/>
        </w:rPr>
        <w:t>los</w:t>
      </w:r>
      <w:r w:rsidRPr="00E51638">
        <w:rPr>
          <w:b/>
          <w:bCs/>
          <w:u w:val="single"/>
        </w:rPr>
        <w:t xml:space="preserve"> Estado</w:t>
      </w:r>
      <w:r w:rsidR="00F1111D">
        <w:rPr>
          <w:b/>
          <w:bCs/>
          <w:u w:val="single"/>
        </w:rPr>
        <w:t>s</w:t>
      </w:r>
      <w:r w:rsidRPr="00E51638">
        <w:rPr>
          <w:b/>
          <w:bCs/>
          <w:u w:val="single"/>
        </w:rPr>
        <w:t xml:space="preserve"> de México y Coahuila, los que </w:t>
      </w:r>
      <w:r w:rsidR="007D7C4C" w:rsidRPr="00E51638">
        <w:rPr>
          <w:b/>
          <w:bCs/>
          <w:u w:val="single"/>
        </w:rPr>
        <w:t>comenzarán</w:t>
      </w:r>
      <w:r w:rsidRPr="00E51638">
        <w:rPr>
          <w:b/>
          <w:bCs/>
          <w:u w:val="single"/>
        </w:rPr>
        <w:t xml:space="preserve"> </w:t>
      </w:r>
      <w:r w:rsidR="00FE2057" w:rsidRPr="00E51638">
        <w:rPr>
          <w:b/>
          <w:bCs/>
          <w:u w:val="single"/>
        </w:rPr>
        <w:t xml:space="preserve">en </w:t>
      </w:r>
      <w:r w:rsidRPr="00E51638">
        <w:rPr>
          <w:b/>
          <w:bCs/>
          <w:u w:val="single"/>
        </w:rPr>
        <w:t>el mes de enero de</w:t>
      </w:r>
      <w:r w:rsidR="00B03985" w:rsidRPr="00E51638">
        <w:rPr>
          <w:b/>
          <w:bCs/>
          <w:u w:val="single"/>
        </w:rPr>
        <w:t xml:space="preserve"> dos mil veintit</w:t>
      </w:r>
      <w:r w:rsidR="00263182" w:rsidRPr="00E51638">
        <w:rPr>
          <w:b/>
          <w:bCs/>
          <w:u w:val="single"/>
        </w:rPr>
        <w:t>rés</w:t>
      </w:r>
      <w:r w:rsidRPr="00E51638">
        <w:t xml:space="preserve">, de conformidad con sus </w:t>
      </w:r>
      <w:r w:rsidR="003976AC" w:rsidRPr="00E51638">
        <w:t>respectivas</w:t>
      </w:r>
      <w:r w:rsidRPr="00E51638">
        <w:t xml:space="preserve"> legislaciones locales. </w:t>
      </w:r>
    </w:p>
    <w:p w14:paraId="3086FEB0" w14:textId="547242A6" w:rsidR="00CB59DE" w:rsidRPr="00E51638" w:rsidRDefault="002B0C8C" w:rsidP="00CB59DE">
      <w:pPr>
        <w:pStyle w:val="Prrafo"/>
        <w:numPr>
          <w:ilvl w:val="0"/>
          <w:numId w:val="6"/>
        </w:numPr>
        <w:ind w:left="0" w:hanging="567"/>
      </w:pPr>
      <w:r w:rsidRPr="00E51638">
        <w:rPr>
          <w:b/>
        </w:rPr>
        <w:t>Presentación de</w:t>
      </w:r>
      <w:r w:rsidR="00263182" w:rsidRPr="00E51638">
        <w:rPr>
          <w:b/>
        </w:rPr>
        <w:t xml:space="preserve"> la acción de inconstitucionalidad</w:t>
      </w:r>
      <w:r w:rsidRPr="00E51638">
        <w:rPr>
          <w:b/>
        </w:rPr>
        <w:t xml:space="preserve"> </w:t>
      </w:r>
      <w:r w:rsidR="00263182" w:rsidRPr="00E51638">
        <w:rPr>
          <w:b/>
        </w:rPr>
        <w:t xml:space="preserve">77/2022, promovida </w:t>
      </w:r>
      <w:r w:rsidRPr="00E51638">
        <w:rPr>
          <w:b/>
        </w:rPr>
        <w:t>por diversos integrantes de la Sexagésima Quinta Legislatura de la Cámara de Senadores del Congreso de la Unión</w:t>
      </w:r>
      <w:r w:rsidR="00FA6FFD" w:rsidRPr="00E51638">
        <w:rPr>
          <w:b/>
        </w:rPr>
        <w:t xml:space="preserve">. </w:t>
      </w:r>
      <w:r w:rsidR="00CB59DE" w:rsidRPr="00E51638">
        <w:t xml:space="preserve">Mediante escrito depositado el diecinueve de mayo de dos mil veintidós en el buzón judicial automatizado del edificio sede de esta Suprema Corte de Justicia de la Nación, </w:t>
      </w:r>
      <w:r w:rsidR="00CB59DE" w:rsidRPr="00E51638">
        <w:rPr>
          <w:bCs/>
        </w:rPr>
        <w:t>diversos integrantes de la Sexagésima Quinta Legislatura de la Cámara de Senadores del Congreso de la Unión</w:t>
      </w:r>
      <w:r w:rsidR="00CB59DE" w:rsidRPr="00E51638">
        <w:t xml:space="preserve"> promovieron acción de inconstitucionalidad, solicitando la invalidez del inciso h) del numeral 1 del artículo 10 de la Ley General del Sistemas de Medios de Impugnación en Materia Electoral, adicionado mediante decreto publicado en el Diario Oficial de la Federación el diecinueve de abril de dos mil veintidós. </w:t>
      </w:r>
    </w:p>
    <w:p w14:paraId="45E572BD" w14:textId="20D2BEB6" w:rsidR="00CB59DE" w:rsidRPr="00E51638" w:rsidRDefault="00CB59DE" w:rsidP="00CB59DE">
      <w:pPr>
        <w:pStyle w:val="Prrafo"/>
        <w:numPr>
          <w:ilvl w:val="0"/>
          <w:numId w:val="6"/>
        </w:numPr>
        <w:ind w:left="0" w:hanging="567"/>
      </w:pPr>
      <w:r w:rsidRPr="00E51638">
        <w:rPr>
          <w:b/>
        </w:rPr>
        <w:t>Conceptos de invalidez de los integrantes de la Sexagésima Quinta Legislatura de la Cámara de Senadores del Congreso de la Unión.</w:t>
      </w:r>
      <w:r w:rsidRPr="00E51638">
        <w:t xml:space="preserve"> En su escrito inicial, los </w:t>
      </w:r>
      <w:r w:rsidR="005D4F0B" w:rsidRPr="00E51638">
        <w:t xml:space="preserve">senadores </w:t>
      </w:r>
      <w:r w:rsidRPr="00E51638">
        <w:t xml:space="preserve">accionantes alegaron vulnerados los artículos 1º, </w:t>
      </w:r>
      <w:r w:rsidRPr="00E51638">
        <w:lastRenderedPageBreak/>
        <w:t>14, 16, 17, 35, 41, 72, 99 y 116 de la Constitución Política de los Estados Unidos Mexicanos, así como</w:t>
      </w:r>
      <w:r w:rsidR="00B865DB">
        <w:t xml:space="preserve"> </w:t>
      </w:r>
      <w:r w:rsidRPr="00E51638">
        <w:t xml:space="preserve">los </w:t>
      </w:r>
      <w:r w:rsidR="00B865DB">
        <w:t>diversos</w:t>
      </w:r>
      <w:r w:rsidRPr="00E51638">
        <w:t xml:space="preserve"> 8, 23 y 25 de la Convención Americana sobre Derechos Humanos. Al respecto, expusieron los conceptos de invalidez siguientes:  </w:t>
      </w:r>
    </w:p>
    <w:p w14:paraId="08C98295" w14:textId="57381513" w:rsidR="00A03600" w:rsidRPr="00E51638" w:rsidRDefault="003B20E6" w:rsidP="006E4122">
      <w:pPr>
        <w:pStyle w:val="Prrafo"/>
        <w:numPr>
          <w:ilvl w:val="1"/>
          <w:numId w:val="6"/>
        </w:numPr>
        <w:ind w:left="567"/>
      </w:pPr>
      <w:r w:rsidRPr="00E51638">
        <w:rPr>
          <w:b/>
          <w:bCs/>
        </w:rPr>
        <w:t xml:space="preserve">Primero. La norma general impugnada es violatoria del principio de acceso a la justicia en su vertiente de disponibilidad de un recurso efectivo. </w:t>
      </w:r>
      <w:r w:rsidRPr="00E51638">
        <w:t>Sostienen que</w:t>
      </w:r>
      <w:r w:rsidR="00A03600" w:rsidRPr="00E51638">
        <w:t xml:space="preserve"> la norma impugnada es </w:t>
      </w:r>
      <w:r w:rsidR="00A03600" w:rsidRPr="00E51638">
        <w:rPr>
          <w:u w:val="single"/>
        </w:rPr>
        <w:t xml:space="preserve">inconstitucional </w:t>
      </w:r>
      <w:r w:rsidRPr="00E51638">
        <w:rPr>
          <w:u w:val="single"/>
        </w:rPr>
        <w:t>por ser contraria a</w:t>
      </w:r>
      <w:r w:rsidR="00A03600" w:rsidRPr="00E51638">
        <w:rPr>
          <w:u w:val="single"/>
        </w:rPr>
        <w:t xml:space="preserve"> la obligación del Estado </w:t>
      </w:r>
      <w:r w:rsidR="00816818">
        <w:rPr>
          <w:u w:val="single"/>
        </w:rPr>
        <w:t>M</w:t>
      </w:r>
      <w:r w:rsidR="00A03600" w:rsidRPr="00E51638">
        <w:rPr>
          <w:u w:val="single"/>
        </w:rPr>
        <w:t>exicano de contemplar un recurso judicial efectivo</w:t>
      </w:r>
      <w:r w:rsidR="00A03600" w:rsidRPr="00E51638">
        <w:t xml:space="preserve"> disponible para cualquier legisladora o legislador en funciones con la finalidad de que accedan a la protección judicial </w:t>
      </w:r>
      <w:r w:rsidR="00A03600" w:rsidRPr="00E51638">
        <w:rPr>
          <w:u w:val="single"/>
        </w:rPr>
        <w:t>frente a actos u omisiones de autoridad intraparlamentarios, que resulten violatorios de sus derechos político-electorales</w:t>
      </w:r>
      <w:r w:rsidR="00A03600" w:rsidRPr="00E51638">
        <w:t>, entre ellos, el derecho a ser votado en su vertiente del desempeño del cargo, conforme a las atribuciones y las prerrogativas que le corresponden.</w:t>
      </w:r>
    </w:p>
    <w:p w14:paraId="3DC3BB97" w14:textId="1D8D4FD9" w:rsidR="00A03600" w:rsidRPr="00E51638" w:rsidRDefault="00A03600" w:rsidP="006E4122">
      <w:pPr>
        <w:pStyle w:val="Prrafo"/>
        <w:ind w:left="567"/>
      </w:pPr>
      <w:r w:rsidRPr="00E51638">
        <w:t xml:space="preserve">La norma general impugnada intenta, de forma genérica y abstracta, anular que las </w:t>
      </w:r>
      <w:r w:rsidR="006825B4" w:rsidRPr="00E51638">
        <w:t>personas</w:t>
      </w:r>
      <w:r w:rsidRPr="00E51638">
        <w:t xml:space="preserve"> integrantes del Poder Legislativo </w:t>
      </w:r>
      <w:r w:rsidR="00325B16" w:rsidRPr="00E51638">
        <w:t xml:space="preserve">Federal </w:t>
      </w:r>
      <w:r w:rsidRPr="00E51638">
        <w:t xml:space="preserve">accedan a un recurso para controvertir en sede judicial aquellos actos u omisiones intralegislativas que consideren </w:t>
      </w:r>
      <w:r w:rsidR="006825B4" w:rsidRPr="00E51638">
        <w:t>violan</w:t>
      </w:r>
      <w:r w:rsidRPr="00E51638">
        <w:t xml:space="preserve"> sus derechos político-electorales, lo que </w:t>
      </w:r>
      <w:r w:rsidRPr="00E51638">
        <w:rPr>
          <w:u w:val="single"/>
        </w:rPr>
        <w:t>transgrede en automático los derechos de acceso a la justicia, protección judicial, tutela judicial efectiva, debido proceso y garantía de audiencia</w:t>
      </w:r>
      <w:r w:rsidR="00753EFF" w:rsidRPr="00E51638">
        <w:t xml:space="preserve">, protegidos en </w:t>
      </w:r>
      <w:r w:rsidR="00816818">
        <w:t>e</w:t>
      </w:r>
      <w:r w:rsidR="00753EFF" w:rsidRPr="00E51638">
        <w:t xml:space="preserve">l artículo 17 de la Constitución General, así como </w:t>
      </w:r>
      <w:r w:rsidR="00816818">
        <w:t xml:space="preserve">en los diversos </w:t>
      </w:r>
      <w:r w:rsidR="00753EFF" w:rsidRPr="00E51638">
        <w:t>8 y 25 de la Convención Americana de Derechos Humanos.</w:t>
      </w:r>
    </w:p>
    <w:p w14:paraId="554F0284" w14:textId="41C15ED5" w:rsidR="00A03600" w:rsidRPr="00E51638" w:rsidRDefault="00753EFF" w:rsidP="006E4122">
      <w:pPr>
        <w:pStyle w:val="Prrafo"/>
        <w:numPr>
          <w:ilvl w:val="1"/>
          <w:numId w:val="6"/>
        </w:numPr>
        <w:ind w:left="567"/>
      </w:pPr>
      <w:r w:rsidRPr="00E51638">
        <w:rPr>
          <w:b/>
          <w:bCs/>
        </w:rPr>
        <w:t xml:space="preserve">Segundo. La norma general impugnada es violatoria de los principios de legalidad e independencia judicial. </w:t>
      </w:r>
      <w:r w:rsidR="00A03600" w:rsidRPr="00E51638">
        <w:t>El decreto impugnado es violatorio de los principios de legalidad e independencia judicial, pues pretende desconocer la interpretación directa que los tribunales constitucionales le han dado a la Norma Fundamental y atenta contra la doctrina jurisprudencial que ha sido desarrollada por el Poder Judicial de la Federación.</w:t>
      </w:r>
    </w:p>
    <w:p w14:paraId="17BF4365" w14:textId="3FC4BF16" w:rsidR="00A03600" w:rsidRPr="00E51638" w:rsidRDefault="00A03600" w:rsidP="006E4122">
      <w:pPr>
        <w:pStyle w:val="Prrafo"/>
        <w:ind w:left="567"/>
      </w:pPr>
      <w:r w:rsidRPr="00E51638">
        <w:t xml:space="preserve">Esto último se sostiene porque la jurisprudencia </w:t>
      </w:r>
      <w:r w:rsidR="0050669B" w:rsidRPr="00E51638">
        <w:t>del Tribunal Electoral del Poder Judicial de la Federación número</w:t>
      </w:r>
      <w:r w:rsidRPr="00E51638">
        <w:t xml:space="preserve"> 2/2022, de rubro: “</w:t>
      </w:r>
      <w:r w:rsidRPr="00E51638">
        <w:rPr>
          <w:i/>
          <w:iCs/>
        </w:rPr>
        <w:t xml:space="preserve">ACTOS </w:t>
      </w:r>
      <w:r w:rsidRPr="00E51638">
        <w:rPr>
          <w:i/>
          <w:iCs/>
        </w:rPr>
        <w:lastRenderedPageBreak/>
        <w:t>PARLAMENTARIOS. SON REVISABLES EN SEDE JURISDICCIONAL ELECTORAL, CUANDO VULNERAN EL DERECHO HUMANO DE ÍNDOLE POLÍTICO-ELECTORAL DE SER VOTADO, EN SU VERTIENTE DE EJERCICIO EFECTIVO DEL CARGO Y DE REPRESENTACIÓN DE LA CIUDADANÍA</w:t>
      </w:r>
      <w:r w:rsidRPr="00E51638">
        <w:t xml:space="preserve">” surge de una interpretación constitucional directa de los artículos 1º, 17, 41, Base VI, y 116, fracción IV, inciso l), de la Constitución </w:t>
      </w:r>
      <w:r w:rsidR="0050669B" w:rsidRPr="00E51638">
        <w:t>General</w:t>
      </w:r>
      <w:r w:rsidRPr="00E51638">
        <w:t xml:space="preserve"> y de los numerales 8, 23 y 25 de la Convención Americana sobre Derechos Humanos, por lo que se debe de considerar una extensión de la Constitución.</w:t>
      </w:r>
    </w:p>
    <w:p w14:paraId="17AC1DAB" w14:textId="79E395F1" w:rsidR="00A03600" w:rsidRPr="00E51638" w:rsidRDefault="008105AB" w:rsidP="006E4122">
      <w:pPr>
        <w:pStyle w:val="Prrafo"/>
        <w:ind w:left="567"/>
      </w:pPr>
      <w:r w:rsidRPr="00E51638">
        <w:t>Lo anterior</w:t>
      </w:r>
      <w:r w:rsidR="00A03600" w:rsidRPr="00E51638">
        <w:t xml:space="preserve"> es un atentado a la independencia personal de los magistrados de la Sala Superior y a la independencia colectiva del Tribunal Electoral del Poder Judicial de la Federación, toda vez que se actualiza un interés extraño, en términos de la tesis de este Alto Tribunal P. XIII/2006, de rubro: “</w:t>
      </w:r>
      <w:r w:rsidR="00A03600" w:rsidRPr="00E51638">
        <w:rPr>
          <w:i/>
          <w:iCs/>
        </w:rPr>
        <w:t>INDEPENDENCIA JUDICIAL. LOS DERECHOS QUE ASISTEN AL TITULAR DEL ÓRGANO JURISDICCIONAL TIENDEN A GARANTIZAR QUE RESUELVA SIEMPRE CONFORME A DERECHO, SIN INFLUENCIAS AJENAS</w:t>
      </w:r>
      <w:r w:rsidR="00A03600" w:rsidRPr="00E51638">
        <w:t>”</w:t>
      </w:r>
      <w:r w:rsidR="00753EFF" w:rsidRPr="00E51638">
        <w:t>.</w:t>
      </w:r>
    </w:p>
    <w:p w14:paraId="2AFC2E6C" w14:textId="64E968D3" w:rsidR="0050669B" w:rsidRPr="00E51638" w:rsidRDefault="0050669B" w:rsidP="006E4122">
      <w:pPr>
        <w:pStyle w:val="Prrafo"/>
        <w:ind w:left="567"/>
      </w:pPr>
      <w:r w:rsidRPr="00E51638">
        <w:t>Asimismo, existe una violación del principio de legalidad al momento en que la reforma impugnada impide el ejercicio de todo medio de impugnación en materia electoral en contra de actos parlamentarios, pues el Tribunal Electoral es la máxima autoridad en la materia</w:t>
      </w:r>
      <w:r w:rsidR="00D17180" w:rsidRPr="00E51638">
        <w:t xml:space="preserve">. </w:t>
      </w:r>
      <w:r w:rsidRPr="00E51638">
        <w:t>Es decir, la norma impugnada genera una modificación unilateral de la Constitución.</w:t>
      </w:r>
    </w:p>
    <w:p w14:paraId="45A97950" w14:textId="74E7C39F" w:rsidR="00A03600" w:rsidRPr="00E51638" w:rsidRDefault="0050669B" w:rsidP="006E4122">
      <w:pPr>
        <w:pStyle w:val="Prrafo"/>
        <w:numPr>
          <w:ilvl w:val="1"/>
          <w:numId w:val="6"/>
        </w:numPr>
        <w:ind w:left="567"/>
      </w:pPr>
      <w:r w:rsidRPr="00E51638">
        <w:rPr>
          <w:b/>
          <w:bCs/>
        </w:rPr>
        <w:t xml:space="preserve">Tercero. </w:t>
      </w:r>
      <w:r w:rsidR="00A03600" w:rsidRPr="00E51638">
        <w:rPr>
          <w:b/>
          <w:bCs/>
        </w:rPr>
        <w:t>La norma general impugnada es violatoria del principio de división de poderes</w:t>
      </w:r>
      <w:r w:rsidRPr="00E51638">
        <w:t>.</w:t>
      </w:r>
      <w:r w:rsidR="00A03600" w:rsidRPr="00E51638">
        <w:t xml:space="preserve"> </w:t>
      </w:r>
      <w:r w:rsidRPr="00E51638">
        <w:t>S</w:t>
      </w:r>
      <w:r w:rsidR="00A03600" w:rsidRPr="00E51638">
        <w:t>i bien</w:t>
      </w:r>
      <w:r w:rsidRPr="00E51638">
        <w:t xml:space="preserve"> el principio de división de poderes </w:t>
      </w:r>
      <w:r w:rsidR="00A03600" w:rsidRPr="00E51638">
        <w:t xml:space="preserve">no opera de manera rígida sino flexible, tal flexibilidad no puede llegar al extremo de que uno de los poderes interfiera, a través del ejercicio de sus facultades, haciendo nugatoria la función de otro. En relación con el caso concreto, el Poder Legislativo articuló, a través de la reforma impugnada, un mecanismo para anular la atribución constitucional exclusiva del Tribunal Electoral, consistente en revisar los actos intralegislativos que se sometan a control </w:t>
      </w:r>
      <w:r w:rsidR="00A03600" w:rsidRPr="00E51638">
        <w:lastRenderedPageBreak/>
        <w:t>judicial por los legisladores que consideren vulnera</w:t>
      </w:r>
      <w:r w:rsidR="007D6A5A" w:rsidRPr="00E51638">
        <w:t>dos</w:t>
      </w:r>
      <w:r w:rsidR="00A03600" w:rsidRPr="00E51638">
        <w:t xml:space="preserve"> sus derechos político-electorales.</w:t>
      </w:r>
    </w:p>
    <w:p w14:paraId="7A489D53" w14:textId="1EE8BE4C" w:rsidR="0050669B" w:rsidRPr="00E51638" w:rsidRDefault="0050669B" w:rsidP="006E4122">
      <w:pPr>
        <w:pStyle w:val="Prrafo"/>
        <w:ind w:left="567"/>
      </w:pPr>
      <w:r w:rsidRPr="00E51638">
        <w:t>Al incluir la causal de improcedencia impugnada, el legislador</w:t>
      </w:r>
      <w:r w:rsidR="00C81036" w:rsidRPr="00E51638">
        <w:t xml:space="preserve"> atenta de manera directa en contra del principio de división de poderes en virtud de que se trata de la anulación de las atribuciones del Tribunal Electoral a través del ejercicio competencial de otro Poder (legislativo).</w:t>
      </w:r>
    </w:p>
    <w:p w14:paraId="22309921" w14:textId="77777777" w:rsidR="00C81036" w:rsidRPr="00E51638" w:rsidRDefault="00C81036" w:rsidP="006E4122">
      <w:pPr>
        <w:pStyle w:val="Prrafo"/>
        <w:numPr>
          <w:ilvl w:val="1"/>
          <w:numId w:val="6"/>
        </w:numPr>
        <w:ind w:left="567"/>
      </w:pPr>
      <w:r w:rsidRPr="00E51638">
        <w:rPr>
          <w:b/>
          <w:bCs/>
        </w:rPr>
        <w:t xml:space="preserve">Cuarto. </w:t>
      </w:r>
      <w:r w:rsidR="00A03600" w:rsidRPr="00E51638">
        <w:rPr>
          <w:b/>
          <w:bCs/>
        </w:rPr>
        <w:t>La norma general impugnada es violatoria del principio de no regresividad en la protección de los derechos humanos</w:t>
      </w:r>
      <w:r w:rsidRPr="00E51638">
        <w:t>.</w:t>
      </w:r>
      <w:r w:rsidR="00A03600" w:rsidRPr="00E51638">
        <w:t xml:space="preserve"> </w:t>
      </w:r>
      <w:r w:rsidRPr="00E51638">
        <w:t xml:space="preserve">Lo anterior, </w:t>
      </w:r>
      <w:r w:rsidR="00A03600" w:rsidRPr="00E51638">
        <w:t>en tanto busca limitar la competencia del Tribunal Electoral, sin acreditar los requisitos para poder hacer una regresión de derechos, toda vez que, no s</w:t>
      </w:r>
      <w:r w:rsidRPr="00E51638">
        <w:t>ó</w:t>
      </w:r>
      <w:r w:rsidR="00A03600" w:rsidRPr="00E51638">
        <w:t xml:space="preserve">lo estamos frente a una regresión en el caso en que se prohíbe un derecho o en el caso en que una autoridad deja de realizar una medida que los haga efectivos, sino también cuando se remueve la posibilidad de que se puedan garantizar. </w:t>
      </w:r>
    </w:p>
    <w:p w14:paraId="02168580" w14:textId="12A182DA" w:rsidR="00A03600" w:rsidRPr="00E51638" w:rsidRDefault="00A03600" w:rsidP="006E4122">
      <w:pPr>
        <w:pStyle w:val="Prrafo"/>
        <w:ind w:left="567"/>
      </w:pPr>
      <w:r w:rsidRPr="00E51638">
        <w:t xml:space="preserve">Así, de la exposición de motivos de la iniciativa de la reforma que se impugna, únicamente se aduce como justificante una supuesta vulneración al principio de división de poderes por parte del Tribunal Electoral del Poder Judicial de la Federación, sin que se señale </w:t>
      </w:r>
      <w:r w:rsidR="00C81036" w:rsidRPr="00E51638">
        <w:t xml:space="preserve">algún argumento relacionado con </w:t>
      </w:r>
      <w:r w:rsidRPr="00E51638">
        <w:t>la protección o la maximización de los derechos político-electorales.</w:t>
      </w:r>
    </w:p>
    <w:p w14:paraId="09A2C388" w14:textId="5925A45C" w:rsidR="00A03600" w:rsidRPr="00E51638" w:rsidRDefault="00A03600" w:rsidP="006E4122">
      <w:pPr>
        <w:pStyle w:val="Prrafo"/>
        <w:ind w:left="567"/>
      </w:pPr>
      <w:r w:rsidRPr="00E51638">
        <w:t>De igual forma, mediante la aplicación de una protección constitucional más amplia y progresiva de los derechos humanos, se ha vislumbrado la necesidad de que algunos actos parlamentarios intralegislativos deben ser judicializados para proteger de mejor forma los derechos, es claro entonces que una reforma posterior no puede acotarlos o limitarlos injustificadamente.</w:t>
      </w:r>
    </w:p>
    <w:p w14:paraId="635C6ED9" w14:textId="3BBDD56B" w:rsidR="00395229" w:rsidRPr="00E51638" w:rsidRDefault="00C81036" w:rsidP="006E4122">
      <w:pPr>
        <w:pStyle w:val="Prrafo"/>
        <w:numPr>
          <w:ilvl w:val="1"/>
          <w:numId w:val="6"/>
        </w:numPr>
        <w:ind w:left="567"/>
      </w:pPr>
      <w:r w:rsidRPr="00E51638">
        <w:rPr>
          <w:b/>
          <w:bCs/>
        </w:rPr>
        <w:t xml:space="preserve">Quinto. </w:t>
      </w:r>
      <w:r w:rsidR="00A03600" w:rsidRPr="00E51638">
        <w:rPr>
          <w:b/>
          <w:bCs/>
        </w:rPr>
        <w:t>La norma general impugnada impacta de manera directa en el orden democrático plasmado en la Constitución</w:t>
      </w:r>
      <w:r w:rsidRPr="00E51638">
        <w:rPr>
          <w:b/>
          <w:bCs/>
        </w:rPr>
        <w:t xml:space="preserve"> Federal.</w:t>
      </w:r>
      <w:r w:rsidR="00A03600" w:rsidRPr="00E51638">
        <w:t xml:space="preserve"> </w:t>
      </w:r>
      <w:r w:rsidR="00395229" w:rsidRPr="00E51638">
        <w:t>La minoría parlamentaria accionante sostiene que la reforma impugnada afecta al orden democráti</w:t>
      </w:r>
      <w:r w:rsidR="00EE17B2">
        <w:t>c</w:t>
      </w:r>
      <w:r w:rsidR="00395229" w:rsidRPr="00E51638">
        <w:t xml:space="preserve">o, en la medida en que </w:t>
      </w:r>
      <w:r w:rsidR="00BB54D5" w:rsidRPr="00E51638">
        <w:t>ést</w:t>
      </w:r>
      <w:r w:rsidR="00EE17B2">
        <w:t>a</w:t>
      </w:r>
      <w:r w:rsidR="00BB54D5" w:rsidRPr="00E51638">
        <w:t xml:space="preserve"> </w:t>
      </w:r>
      <w:r w:rsidR="00395229" w:rsidRPr="00E51638">
        <w:t xml:space="preserve">implica la participación política </w:t>
      </w:r>
      <w:r w:rsidR="00395229" w:rsidRPr="00E51638">
        <w:lastRenderedPageBreak/>
        <w:t xml:space="preserve">directa e indirecta y, en general, el derecho de la ciudadanía a participar en la </w:t>
      </w:r>
      <w:r w:rsidR="00395229" w:rsidRPr="00E51638">
        <w:rPr>
          <w:i/>
          <w:iCs/>
        </w:rPr>
        <w:t>cosa pública.</w:t>
      </w:r>
    </w:p>
    <w:p w14:paraId="12E143C2" w14:textId="3BA2F69B" w:rsidR="00C81036" w:rsidRPr="00E51638" w:rsidRDefault="00C81036" w:rsidP="006E4122">
      <w:pPr>
        <w:pStyle w:val="Prrafo"/>
        <w:ind w:left="567"/>
      </w:pPr>
      <w:r w:rsidRPr="00E51638">
        <w:t>E</w:t>
      </w:r>
      <w:r w:rsidR="00395229" w:rsidRPr="00E51638">
        <w:t xml:space="preserve">n primer lugar, </w:t>
      </w:r>
      <w:r w:rsidR="00395229" w:rsidRPr="00E51638">
        <w:rPr>
          <w:u w:val="single"/>
        </w:rPr>
        <w:t>se afecta el derecho a ser votado</w:t>
      </w:r>
      <w:r w:rsidR="00395229" w:rsidRPr="00E51638">
        <w:t>, pues la reforma impugnada es una limitación indebida al artículo 99 constitucional, ya que e</w:t>
      </w:r>
      <w:r w:rsidR="00A03600" w:rsidRPr="00E51638">
        <w:t>l Tribunal Electoral es la máxima autoridad electoral</w:t>
      </w:r>
      <w:r w:rsidRPr="00E51638">
        <w:t xml:space="preserve"> junto </w:t>
      </w:r>
      <w:r w:rsidR="00A03600" w:rsidRPr="00E51638">
        <w:t xml:space="preserve">con la Suprema Corte, </w:t>
      </w:r>
      <w:r w:rsidRPr="00E51638">
        <w:t xml:space="preserve">de manera que la norma impugnada </w:t>
      </w:r>
      <w:r w:rsidR="00A03600" w:rsidRPr="00E51638">
        <w:t>violenta su facultad de tutelar los derechos políticos</w:t>
      </w:r>
      <w:r w:rsidRPr="00E51638">
        <w:t>, lo cual impacta en el orden democrático que protege la Norma Fundamental</w:t>
      </w:r>
      <w:r w:rsidR="00D17180" w:rsidRPr="00E51638">
        <w:t xml:space="preserve">. </w:t>
      </w:r>
      <w:r w:rsidR="00395229" w:rsidRPr="00E51638">
        <w:t xml:space="preserve">Se trata de una </w:t>
      </w:r>
      <w:r w:rsidR="00395229" w:rsidRPr="00E51638">
        <w:rPr>
          <w:u w:val="single"/>
        </w:rPr>
        <w:t xml:space="preserve">limitación </w:t>
      </w:r>
      <w:r w:rsidR="00FA0216" w:rsidRPr="00E51638">
        <w:rPr>
          <w:u w:val="single"/>
        </w:rPr>
        <w:t>absoluta de revisar la constitucionalidad de los actos internos del Congreso que vulnera el derecho a ser votado y a acceder y ejercer el cargo público en condiciones de igualdad</w:t>
      </w:r>
      <w:r w:rsidR="00FA0216" w:rsidRPr="00E51638">
        <w:t>.</w:t>
      </w:r>
    </w:p>
    <w:p w14:paraId="3909DBEC" w14:textId="222B99B1" w:rsidR="00A03600" w:rsidRPr="00E51638" w:rsidRDefault="00FA0216" w:rsidP="006E4122">
      <w:pPr>
        <w:pStyle w:val="Prrafo"/>
        <w:ind w:left="567"/>
      </w:pPr>
      <w:r w:rsidRPr="00E51638">
        <w:t xml:space="preserve">Asimismo, en segundo lugar, </w:t>
      </w:r>
      <w:r w:rsidR="00A03600" w:rsidRPr="00E51638">
        <w:rPr>
          <w:u w:val="single"/>
        </w:rPr>
        <w:t xml:space="preserve">el derecho a ser votado no se agota con el proceso electivo, sino que comprende el derecho a permanecer en </w:t>
      </w:r>
      <w:r w:rsidRPr="00E51638">
        <w:rPr>
          <w:u w:val="single"/>
        </w:rPr>
        <w:t>el cargo</w:t>
      </w:r>
      <w:r w:rsidR="00A03600" w:rsidRPr="00E51638">
        <w:rPr>
          <w:u w:val="single"/>
        </w:rPr>
        <w:t xml:space="preserve"> y ejercer las funciones que le son inherentes</w:t>
      </w:r>
      <w:r w:rsidR="00A03600" w:rsidRPr="00E51638">
        <w:t>. De la misma forma, el derecho a votar de la ciudadanía no se limita al ejercicio del voto el día de la jornada electoral, sino que comprende el derecho a que su voluntad se vea verdaderamente reflejada en las personas que eligieron, a fin de que sean debidamente representadas por la fuerza política que eligieron al interior de los órganos legislativos.</w:t>
      </w:r>
    </w:p>
    <w:p w14:paraId="2BF37CF2" w14:textId="1FD9C84B" w:rsidR="00A03600" w:rsidRPr="00E51638" w:rsidRDefault="00A03600" w:rsidP="006E4122">
      <w:pPr>
        <w:pStyle w:val="Prrafo"/>
        <w:ind w:left="567"/>
      </w:pPr>
      <w:r w:rsidRPr="00E51638">
        <w:t xml:space="preserve">Existen múltiples actos parlamentarios, emanados del Congreso de la Unión o sus Cámaras, emitidos por sus órganos de gobierno, concernientes a la integración, </w:t>
      </w:r>
      <w:r w:rsidR="00C359BD" w:rsidRPr="00E51638">
        <w:t xml:space="preserve">la </w:t>
      </w:r>
      <w:r w:rsidRPr="00E51638">
        <w:t>organización y</w:t>
      </w:r>
      <w:r w:rsidR="00C359BD" w:rsidRPr="00E51638">
        <w:t xml:space="preserve"> el</w:t>
      </w:r>
      <w:r w:rsidRPr="00E51638">
        <w:t xml:space="preserve"> funcionamiento internos de sus órganos y comisiones legislativas, que pueden afectar derechos político-electorales de la ciudadanía, o el sistema democrático en sí, y limitar su protección </w:t>
      </w:r>
      <w:r w:rsidR="00FA0216" w:rsidRPr="00E51638">
        <w:t>mediante un recurso efectivo, transgrede los derechos político-electorales de la ciudadanía</w:t>
      </w:r>
      <w:r w:rsidRPr="00E51638">
        <w:t>.</w:t>
      </w:r>
    </w:p>
    <w:p w14:paraId="3C948204" w14:textId="6B138697" w:rsidR="00A03600" w:rsidRPr="00E51638" w:rsidRDefault="00A03600" w:rsidP="006E4122">
      <w:pPr>
        <w:pStyle w:val="Prrafo"/>
        <w:ind w:left="567"/>
      </w:pPr>
      <w:r w:rsidRPr="00E51638">
        <w:t xml:space="preserve">Finalmente, la norma general </w:t>
      </w:r>
      <w:r w:rsidR="00FA0216" w:rsidRPr="00E51638">
        <w:t xml:space="preserve">también </w:t>
      </w:r>
      <w:r w:rsidRPr="00E51638">
        <w:rPr>
          <w:u w:val="single"/>
        </w:rPr>
        <w:t>afecta los derechos político-electorales de las minorías parlamentarias</w:t>
      </w:r>
      <w:r w:rsidRPr="00E51638">
        <w:t xml:space="preserve">, dado que tiene como efecto el someter a un trato desigual respecto al ejercicio de sus derechos político-electorales a dichas minorías, como el participar efectivamente en órganos </w:t>
      </w:r>
      <w:r w:rsidRPr="00E51638">
        <w:lastRenderedPageBreak/>
        <w:t>de representación como la Comisión Permanente, en la que</w:t>
      </w:r>
      <w:r w:rsidR="00FA0216" w:rsidRPr="00E51638">
        <w:t>,</w:t>
      </w:r>
      <w:r w:rsidRPr="00E51638">
        <w:t xml:space="preserve"> como agrupación de legisladores con una diversidad en cuanto a la pluralidad ideológica que los caracteriza, puedan hacer valer el ejercicio de su derecho a la representación parlamentaria, con lo cual desempeñen eficaz y efectivamente el cargo legislativo, así como que hagan valer sus derechos de libre expresión y de asociación política, sin temor a que sean discriminados o señalados por no pertenecer a alguna agrupación partidista.</w:t>
      </w:r>
    </w:p>
    <w:p w14:paraId="31C7AC4F" w14:textId="5E074006" w:rsidR="00A03600" w:rsidRPr="00E51638" w:rsidRDefault="00A03600" w:rsidP="006E4122">
      <w:pPr>
        <w:pStyle w:val="Prrafo"/>
        <w:ind w:left="567"/>
      </w:pPr>
      <w:r w:rsidRPr="00E51638">
        <w:t>En consecuencia, las minorías parlamentarias se verían afectadas en el ejercicio efectivo de sus derechos político-electorales, toda vez que los órganos de gobierno del Congreso de la Unión, gobernado normalmente por las mayorías, tendrían una facultad discrecional para limitar la participación de sus integrantes en la Comisión Permanente u otros órganos del Congreso, no obstante que muchos de éstos, como la Comisión Permanente, son órganos de representación y no de gobierno, teniendo un efecto discriminatorio frente a las minorías parlamentarias quienes con dicha norma, estarían siendo impedidas de defenderse de violaciones a sus derechos político-electorales</w:t>
      </w:r>
      <w:r w:rsidR="0021478F" w:rsidRPr="00E51638">
        <w:t xml:space="preserve"> (c</w:t>
      </w:r>
      <w:r w:rsidRPr="00E51638">
        <w:t xml:space="preserve">omo </w:t>
      </w:r>
      <w:r w:rsidR="0021478F" w:rsidRPr="00E51638">
        <w:t>el</w:t>
      </w:r>
      <w:r w:rsidRPr="00E51638">
        <w:t xml:space="preserve"> de </w:t>
      </w:r>
      <w:r w:rsidR="0021478F" w:rsidRPr="00E51638">
        <w:t xml:space="preserve">asociación, libertad de expresión </w:t>
      </w:r>
      <w:r w:rsidRPr="00E51638">
        <w:t xml:space="preserve">o, incluso, </w:t>
      </w:r>
      <w:r w:rsidR="0021478F" w:rsidRPr="00E51638">
        <w:t>el de desempeño de</w:t>
      </w:r>
      <w:r w:rsidRPr="00E51638">
        <w:t xml:space="preserve"> sus funciones parlamentarias en igualdad de condiciones</w:t>
      </w:r>
      <w:r w:rsidR="0021478F" w:rsidRPr="00E51638">
        <w:t>)</w:t>
      </w:r>
      <w:r w:rsidRPr="00E51638">
        <w:t>.</w:t>
      </w:r>
    </w:p>
    <w:bookmarkEnd w:id="11"/>
    <w:p w14:paraId="66C92CB3" w14:textId="77777777" w:rsidR="006B23D7" w:rsidRPr="00E51638" w:rsidRDefault="006B23D7" w:rsidP="006B23D7">
      <w:pPr>
        <w:pStyle w:val="Prrafo"/>
        <w:numPr>
          <w:ilvl w:val="0"/>
          <w:numId w:val="6"/>
        </w:numPr>
        <w:ind w:left="0" w:hanging="567"/>
      </w:pPr>
      <w:r w:rsidRPr="00E51638">
        <w:rPr>
          <w:b/>
        </w:rPr>
        <w:t xml:space="preserve">Admisión y trámite de la acción de inconstitucionalidad 77/2022. </w:t>
      </w:r>
      <w:r w:rsidRPr="00E51638">
        <w:t>Por acuerdo de veinticuatro de mayo de dos mil veintidós, el Ministro Presidente de la Suprema Corte de Justicia de la Nación tuvo por recibido el escrito de demanda y los anexos presentados por la minoría parlamentaria; ordenó formar el expediente físico y electrónico de la acción de inconstitucionalidad bajo el número 77/2022 y, dado que existe identidad respecto del decreto controvertido entre la demanda promovida por los senadores y la diversa acción de inconstitucionalidad 62/2022, presentada por el partido político Movimiento Ciudadano, decretó la acumulación entre ambos medios de control constitucional; y, consecuentemente, turnó el asunto al Ministro Luis María Aguilar Morales, designado como instructor en el primero de los asuntos.</w:t>
      </w:r>
    </w:p>
    <w:p w14:paraId="4EC4C15E" w14:textId="1C489730" w:rsidR="006B23D7" w:rsidRPr="00E51638" w:rsidRDefault="006B23D7" w:rsidP="006B23D7">
      <w:pPr>
        <w:pStyle w:val="Prrafo"/>
        <w:numPr>
          <w:ilvl w:val="0"/>
          <w:numId w:val="6"/>
        </w:numPr>
        <w:ind w:left="0" w:hanging="567"/>
      </w:pPr>
      <w:r w:rsidRPr="00E51638">
        <w:lastRenderedPageBreak/>
        <w:t>El veinticinco de mayo de dos mil veintidós, el Ministro instructor reconoció personalidad a los senadores promoventes y admitió a trámite la acción de inconstitucionalidad; asimismo, ordenó dar vista al Poder Ejecutivo Federal, así como a las Cámaras de Diputados y Senadores del Congreso de la Unión, a efecto de que rindieran su informe.</w:t>
      </w:r>
    </w:p>
    <w:p w14:paraId="6D3B1407" w14:textId="27DCCE60" w:rsidR="006B23D7" w:rsidRPr="00E51638" w:rsidRDefault="006B23D7" w:rsidP="006B23D7">
      <w:pPr>
        <w:pStyle w:val="Prrafo"/>
        <w:numPr>
          <w:ilvl w:val="0"/>
          <w:numId w:val="6"/>
        </w:numPr>
        <w:ind w:left="0" w:hanging="567"/>
      </w:pPr>
      <w:r w:rsidRPr="00E51638">
        <w:t>De igual forma, ordenó dar vista a la Fiscalía General de la República para que formulara el pedimento que a su representación correspondiera.</w:t>
      </w:r>
    </w:p>
    <w:p w14:paraId="0E7C4B6E" w14:textId="07B18C23" w:rsidR="006B23D7" w:rsidRPr="00E51638" w:rsidRDefault="006B23D7" w:rsidP="006B23D7">
      <w:pPr>
        <w:pStyle w:val="Prrafo"/>
        <w:numPr>
          <w:ilvl w:val="0"/>
          <w:numId w:val="6"/>
        </w:numPr>
        <w:ind w:left="0" w:hanging="567"/>
      </w:pPr>
      <w:r w:rsidRPr="00E51638">
        <w:rPr>
          <w:b/>
        </w:rPr>
        <w:t>Informes de la Cámara de Senadores del Congreso de la Unión.</w:t>
      </w:r>
      <w:r w:rsidRPr="00E51638">
        <w:rPr>
          <w:bCs/>
        </w:rPr>
        <w:t xml:space="preserve"> Mediante escritos depositados el dieciocho de mayo y el seis de junio de dos mil veintidós en el buzón judicial automatizado del edificio sede de esta Suprema Corte de Justicia de la Nación, la Presidenta de la Mesa Directiva de la Cámara de Senadores del Congreso de la Unión rindió</w:t>
      </w:r>
      <w:r w:rsidR="00D23E96" w:rsidRPr="00E51638">
        <w:rPr>
          <w:bCs/>
        </w:rPr>
        <w:t xml:space="preserve"> los</w:t>
      </w:r>
      <w:r w:rsidRPr="00E51638">
        <w:rPr>
          <w:bCs/>
        </w:rPr>
        <w:t xml:space="preserve"> informes </w:t>
      </w:r>
      <w:r w:rsidR="00D23E96" w:rsidRPr="00E51638">
        <w:rPr>
          <w:bCs/>
        </w:rPr>
        <w:t xml:space="preserve">correspondientes </w:t>
      </w:r>
      <w:r w:rsidRPr="00E51638">
        <w:rPr>
          <w:bCs/>
        </w:rPr>
        <w:t>en representación de la citada autoridad legislativa. Esencialmente, sostuvo que:</w:t>
      </w:r>
    </w:p>
    <w:p w14:paraId="51666A3D" w14:textId="77777777" w:rsidR="006B23D7" w:rsidRPr="00E51638" w:rsidRDefault="006B23D7" w:rsidP="006B23D7">
      <w:pPr>
        <w:pStyle w:val="Prrafo"/>
        <w:numPr>
          <w:ilvl w:val="1"/>
          <w:numId w:val="6"/>
        </w:numPr>
        <w:ind w:left="567"/>
      </w:pPr>
      <w:r w:rsidRPr="00E51638">
        <w:rPr>
          <w:bCs/>
        </w:rPr>
        <w:t>En términos d</w:t>
      </w:r>
      <w:r w:rsidRPr="00E51638">
        <w:t>e los artículos 41, base VI, párrafo primero, y 99 de la Constitución General, el sistema de medios de impugnación en materia electoral tiene un escrutinio acotado, sin que en ninguna de las disposiciones referidas se ubique la facultad para revisar la constitucionalidad y la legalidad de los actos parlamentarios emitidos por el Congreso de la Unión.</w:t>
      </w:r>
    </w:p>
    <w:p w14:paraId="6106979A" w14:textId="1D1A73F1" w:rsidR="006B23D7" w:rsidRPr="00E51638" w:rsidRDefault="00D23E96" w:rsidP="006B23D7">
      <w:pPr>
        <w:pStyle w:val="Prrafo"/>
        <w:numPr>
          <w:ilvl w:val="1"/>
          <w:numId w:val="6"/>
        </w:numPr>
        <w:ind w:left="567"/>
      </w:pPr>
      <w:r w:rsidRPr="00E51638">
        <w:t>Los actos parlamentarios</w:t>
      </w:r>
      <w:r w:rsidR="006B23D7" w:rsidRPr="00E51638">
        <w:t xml:space="preserve"> no trascienden más allá de la organización interna del órgano legislativo y, por ende, no afectan de manera directa e inmediata el derecho político-electoral a ser votado, en las modalidades de acceso y ejercicio inherente del cargo o de participación en la vida política del </w:t>
      </w:r>
      <w:r w:rsidR="00312F56" w:rsidRPr="00E51638">
        <w:t>P</w:t>
      </w:r>
      <w:r w:rsidR="006B23D7" w:rsidRPr="00E51638">
        <w:t>aís. De esta manera, los actos parlamentarios corresponden exclusivamente al Poder Legislativo en ejercicio de su soberanía y autonomía, los cuales no pueden ser revisables en sede judicial, para preservar el equilibrio entre los Poderes de la Unión.</w:t>
      </w:r>
    </w:p>
    <w:p w14:paraId="54F2C8EF" w14:textId="77777777" w:rsidR="006B23D7" w:rsidRPr="00E51638" w:rsidRDefault="006B23D7" w:rsidP="006B23D7">
      <w:pPr>
        <w:pStyle w:val="Prrafo"/>
        <w:numPr>
          <w:ilvl w:val="1"/>
          <w:numId w:val="6"/>
        </w:numPr>
        <w:ind w:left="567"/>
      </w:pPr>
      <w:r w:rsidRPr="00E51638">
        <w:t xml:space="preserve">El Decreto combatido no transgrede el principio de independencia judicial, en virtud de que no afecta, restringe o menoscaba las garantías que tiene </w:t>
      </w:r>
      <w:r w:rsidRPr="00E51638">
        <w:lastRenderedPageBreak/>
        <w:t>el Tribunal Electoral del Poder Judicial de la Federación para resolver de forma independiente los asuntos que tiene a su cargo. Tampoco el derecho de contar con un recurso sencillo y rápido, puesto que el simple establecimiento de requisitos o presupuestos formales no constituye en sí mismo una violación a tal derecho humano.</w:t>
      </w:r>
    </w:p>
    <w:p w14:paraId="01135870" w14:textId="4C8ED1D7" w:rsidR="006B23D7" w:rsidRPr="00E51638" w:rsidRDefault="006B23D7" w:rsidP="006B23D7">
      <w:pPr>
        <w:pStyle w:val="Prrafo"/>
        <w:numPr>
          <w:ilvl w:val="1"/>
          <w:numId w:val="6"/>
        </w:numPr>
        <w:ind w:left="567"/>
      </w:pPr>
      <w:r w:rsidRPr="00E51638">
        <w:t xml:space="preserve">Finalmente, la alegada inconstitucionalidad por vulneración </w:t>
      </w:r>
      <w:r w:rsidR="00312F56" w:rsidRPr="00E51638">
        <w:t>del</w:t>
      </w:r>
      <w:r w:rsidRPr="00E51638">
        <w:t xml:space="preserve"> principio de progresividad se hace depender del criterio jurisprudencial 2/2022, del Tribunal Electoral del Poder Judicial de la Federación; sin embargo, la inconstitucionalidad de una norma general surge de su contradicción con algún precepto de la Constitución Política de los Estados Unidos Mexicanos, no de su oposición a un criterio jurisprudencial.</w:t>
      </w:r>
    </w:p>
    <w:p w14:paraId="5FAFF99C" w14:textId="37D9CB8E" w:rsidR="006B23D7" w:rsidRPr="00E51638" w:rsidRDefault="006B23D7" w:rsidP="006B23D7">
      <w:pPr>
        <w:pStyle w:val="Prrafo"/>
        <w:numPr>
          <w:ilvl w:val="0"/>
          <w:numId w:val="6"/>
        </w:numPr>
        <w:ind w:left="0" w:hanging="567"/>
      </w:pPr>
      <w:r w:rsidRPr="00E51638">
        <w:rPr>
          <w:b/>
        </w:rPr>
        <w:t xml:space="preserve">Informes de la Cámara de Diputados del Congreso de la Unión. </w:t>
      </w:r>
      <w:r w:rsidRPr="00E51638">
        <w:rPr>
          <w:bCs/>
        </w:rPr>
        <w:t>Mediante escritos depositados el diecinueve de mayo y el nueve de junio de dos mil veintidós en el buzón judicial automatizado del edificio sede de esta Suprema Corte de Justicia de la Nación, el Presidente de la Mesa Directiva de la Cámara de Diputados del Congreso de la Unión, rindió informes en representación de la citada autoridad legislativa, en los términos siguientes:</w:t>
      </w:r>
    </w:p>
    <w:p w14:paraId="098A5D6A" w14:textId="20F88B15" w:rsidR="006B23D7" w:rsidRPr="00E51638" w:rsidRDefault="006B23D7" w:rsidP="006B23D7">
      <w:pPr>
        <w:pStyle w:val="Prrafo"/>
        <w:numPr>
          <w:ilvl w:val="1"/>
          <w:numId w:val="6"/>
        </w:numPr>
        <w:ind w:left="567"/>
      </w:pPr>
      <w:r w:rsidRPr="00E51638">
        <w:t xml:space="preserve">De conformidad con los artículos 19, fracción IX, y 62, último párrafo, de la Ley Reglamentaria, en relación con el </w:t>
      </w:r>
      <w:r w:rsidR="001A18C3">
        <w:t>diverso</w:t>
      </w:r>
      <w:r w:rsidRPr="00E51638">
        <w:t xml:space="preserve"> 105, fracción II, inciso f), de la Constitución General, la acción de inconstitucional promovida por Movimiento Ciudadano </w:t>
      </w:r>
      <w:r w:rsidRPr="00E51638">
        <w:rPr>
          <w:u w:val="single"/>
        </w:rPr>
        <w:t>resulta improcedente porque el decreto impugnado no reviste naturaleza electoral</w:t>
      </w:r>
      <w:r w:rsidRPr="00E51638">
        <w:t>.</w:t>
      </w:r>
    </w:p>
    <w:p w14:paraId="37EB9752" w14:textId="77777777" w:rsidR="006B23D7" w:rsidRPr="00E51638" w:rsidRDefault="006B23D7" w:rsidP="006B23D7">
      <w:pPr>
        <w:pStyle w:val="Prrafo"/>
        <w:numPr>
          <w:ilvl w:val="1"/>
          <w:numId w:val="6"/>
        </w:numPr>
        <w:ind w:left="567"/>
      </w:pPr>
      <w:r w:rsidRPr="00E51638">
        <w:t>El decreto impugnado no viola el principio de legalidad, pues los artículos 41, base VI, 73, fracción XXXI, y 99, fracción V, de la Constitución General, otorgan al Congreso de la Unión la facultad de expedir la ley que regule el sistema de medios de impugnación. Tampoco se vulnera el principio de independencia judicial, puesto que la norma impugnada no tuvo por objeto regular el nombramiento, duración en el cargo, remuneraciones y demás aspectos relevantes de los derechos y las obligaciones de los titulares de los órganos jurisdiccionales.</w:t>
      </w:r>
    </w:p>
    <w:p w14:paraId="61B5C51C" w14:textId="7CB14FC5" w:rsidR="006B23D7" w:rsidRPr="00E51638" w:rsidRDefault="006B23D7" w:rsidP="006B23D7">
      <w:pPr>
        <w:pStyle w:val="Prrafo"/>
        <w:numPr>
          <w:ilvl w:val="1"/>
          <w:numId w:val="6"/>
        </w:numPr>
        <w:ind w:left="567"/>
      </w:pPr>
      <w:r w:rsidRPr="00E51638">
        <w:lastRenderedPageBreak/>
        <w:t xml:space="preserve">El legislador democrático, en ejercicio de sus facultades de configuración normativa puede establecer las condiciones procesales de acceso a esos medios, pues incluso dicha estructura procesal permite proteger otros bienes constitucionales, como la seguridad jurídica y la igualdad procesal de las partes. </w:t>
      </w:r>
      <w:r w:rsidR="00C17014" w:rsidRPr="00E51638">
        <w:t>Del mismo modo</w:t>
      </w:r>
      <w:r w:rsidRPr="00E51638">
        <w:t xml:space="preserve">, el principio de progresividad no tiene el alcance de que un determinado órgano jurisdiccional se otorgue </w:t>
      </w:r>
      <w:r w:rsidR="00564286" w:rsidRPr="00E51638">
        <w:t xml:space="preserve">a sí mismo, </w:t>
      </w:r>
      <w:r w:rsidRPr="00E51638">
        <w:t>una competencia que la Constitución Federal no le reconoce. Aunado a esto, tal principio no resulta aplicable, pues el decreto modifica aspectos adjetivos y no algún derecho subjetivo.</w:t>
      </w:r>
    </w:p>
    <w:p w14:paraId="623249E3" w14:textId="1C99B0AA" w:rsidR="006B23D7" w:rsidRPr="00E51638" w:rsidRDefault="006B23D7" w:rsidP="006B23D7">
      <w:pPr>
        <w:pStyle w:val="Prrafo"/>
        <w:numPr>
          <w:ilvl w:val="0"/>
          <w:numId w:val="6"/>
        </w:numPr>
        <w:ind w:left="0" w:hanging="567"/>
      </w:pPr>
      <w:bookmarkStart w:id="12" w:name="_Hlk45890854"/>
      <w:r w:rsidRPr="00E51638">
        <w:rPr>
          <w:b/>
        </w:rPr>
        <w:t xml:space="preserve">Informes del Poder Ejecutivo Federal. </w:t>
      </w:r>
      <w:r w:rsidRPr="00E51638">
        <w:rPr>
          <w:bCs/>
        </w:rPr>
        <w:t xml:space="preserve">Mediante escritos depositados el diecinueve de mayo y el siete de junio de dos mil veintidós en el buzón judicial automatizado del edificio sede de esta Suprema Corte de Justicia de la Nación, </w:t>
      </w:r>
      <w:r w:rsidR="00564286" w:rsidRPr="00E51638">
        <w:rPr>
          <w:bCs/>
        </w:rPr>
        <w:t>la</w:t>
      </w:r>
      <w:r w:rsidRPr="00E51638">
        <w:rPr>
          <w:bCs/>
        </w:rPr>
        <w:t xml:space="preserve"> Consejera Jurídica del Ejecutivo Federal, rindió informes en representación </w:t>
      </w:r>
      <w:r w:rsidR="00564286" w:rsidRPr="00E51638">
        <w:rPr>
          <w:bCs/>
        </w:rPr>
        <w:t>de ese Poder</w:t>
      </w:r>
      <w:r w:rsidRPr="00E51638">
        <w:rPr>
          <w:bCs/>
        </w:rPr>
        <w:t>, en los términos siguientes:</w:t>
      </w:r>
    </w:p>
    <w:p w14:paraId="46F5700F" w14:textId="77777777" w:rsidR="006B23D7" w:rsidRPr="00E51638" w:rsidRDefault="006B23D7" w:rsidP="006B23D7">
      <w:pPr>
        <w:pStyle w:val="Prrafo"/>
        <w:numPr>
          <w:ilvl w:val="1"/>
          <w:numId w:val="6"/>
        </w:numPr>
        <w:ind w:left="567"/>
      </w:pPr>
      <w:r w:rsidRPr="00E51638">
        <w:t>La modificación normativa impugnada no controvierte el principio de legalidad, ya que deriva de la facultad exclusiva conferida en la Constitución General al Congreso de la Unión para expedir la ley que regula su estructura y funcionamiento internos; asimismo, la propia Norma Fundamental, en sus artículos 41, base VI, y 99, limita las facultades del Tribunal Electoral para conocer únicamente de conflictos en materia electoral y no respecto de actos que deriven del Derecho Parlamentario.</w:t>
      </w:r>
    </w:p>
    <w:p w14:paraId="6BB409F6" w14:textId="1777E1B9" w:rsidR="006B23D7" w:rsidRPr="00E51638" w:rsidRDefault="006B23D7" w:rsidP="006B23D7">
      <w:pPr>
        <w:pStyle w:val="Prrafo"/>
        <w:numPr>
          <w:ilvl w:val="1"/>
          <w:numId w:val="6"/>
        </w:numPr>
        <w:ind w:left="567"/>
      </w:pPr>
      <w:r w:rsidRPr="00E51638">
        <w:t xml:space="preserve">Tampoco se vulnera el principio de independencia del Poder Judicial pues no es </w:t>
      </w:r>
      <w:r w:rsidR="00564286" w:rsidRPr="00E51638">
        <w:t>posible ampliar su</w:t>
      </w:r>
      <w:r w:rsidRPr="00E51638">
        <w:t xml:space="preserve"> competencia de forma discrecional a través de interpretaciones que no encuentran </w:t>
      </w:r>
      <w:r w:rsidR="00564286" w:rsidRPr="00E51638">
        <w:t>asidero</w:t>
      </w:r>
      <w:r w:rsidRPr="00E51638">
        <w:t xml:space="preserve"> constitucional ni legal, ya que ello produciría inseguridad jurídica a los justiciables. Mucho menos se restringe el ejercicio de los derechos político-electorales de las personas, pues no se trastoca</w:t>
      </w:r>
      <w:r w:rsidR="004B0537" w:rsidRPr="00E51638">
        <w:t>n</w:t>
      </w:r>
      <w:r w:rsidRPr="00E51638">
        <w:t xml:space="preserve"> las garantías para ejercer de manera efectiva un puesto de elección popular. </w:t>
      </w:r>
    </w:p>
    <w:p w14:paraId="551A4C75" w14:textId="434C9319" w:rsidR="006B23D7" w:rsidRPr="00E51638" w:rsidRDefault="006B23D7" w:rsidP="006B23D7">
      <w:pPr>
        <w:pStyle w:val="Prrafo"/>
        <w:numPr>
          <w:ilvl w:val="1"/>
          <w:numId w:val="6"/>
        </w:numPr>
        <w:ind w:left="567"/>
      </w:pPr>
      <w:r w:rsidRPr="00E51638">
        <w:t xml:space="preserve">La adición impugnada no constituye una restricción injustificada al derecho de acceso a la justicia, sino el establecimiento de requisitos o presupuestos </w:t>
      </w:r>
      <w:r w:rsidRPr="00E51638">
        <w:lastRenderedPageBreak/>
        <w:t>formales necesarios para la procedencia de los medios de impugnación en materia electoral. De igual forma, el análisis de constitucionalidad de una norma general no puede depender de un criterio jurisprudencial, sino del propio Texto Fundamental. Finalmente, no se vulnera el principio de progresividad, en su vertiente de prohibición de regresividad, porque no se priva de alguna facultad procesal que tuvieran las partes en un litigio.</w:t>
      </w:r>
    </w:p>
    <w:p w14:paraId="5D748A61" w14:textId="77777777" w:rsidR="006B23D7" w:rsidRPr="00E51638" w:rsidRDefault="006B23D7" w:rsidP="006B23D7">
      <w:pPr>
        <w:pStyle w:val="Prrafo"/>
        <w:numPr>
          <w:ilvl w:val="0"/>
          <w:numId w:val="6"/>
        </w:numPr>
        <w:ind w:left="0" w:hanging="567"/>
      </w:pPr>
      <w:r w:rsidRPr="00E51638">
        <w:rPr>
          <w:b/>
          <w:bCs/>
        </w:rPr>
        <w:t xml:space="preserve">Opinión de la Sala Superior. </w:t>
      </w:r>
      <w:r w:rsidRPr="00E51638">
        <w:t xml:space="preserve">Mediante oficio TEPJF-SGA-OA-1019/2022, la Sala Superior del Tribunal Electoral del Poder Judicial de la Federación </w:t>
      </w:r>
      <w:r w:rsidRPr="00E51638">
        <w:rPr>
          <w:bCs/>
        </w:rPr>
        <w:t>presentó opinión en la acción de inconstitucionalidad, en los términos siguientes:</w:t>
      </w:r>
    </w:p>
    <w:p w14:paraId="28B974B8" w14:textId="77777777" w:rsidR="006B23D7" w:rsidRPr="00E51638" w:rsidRDefault="006B23D7" w:rsidP="006B23D7">
      <w:pPr>
        <w:pStyle w:val="Prrafo"/>
        <w:numPr>
          <w:ilvl w:val="1"/>
          <w:numId w:val="6"/>
        </w:numPr>
        <w:ind w:left="567"/>
      </w:pPr>
      <w:r w:rsidRPr="00E51638">
        <w:t>No son opinables los conceptos de invalidez en los que la accionante alega violación a los principios de legalidad, de independencia judicial y de división de poderes, por no ser propiamente temas en materia electoral.</w:t>
      </w:r>
    </w:p>
    <w:p w14:paraId="3E26FBA8" w14:textId="6DC830CC" w:rsidR="006B23D7" w:rsidRPr="00E51638" w:rsidRDefault="006B23D7" w:rsidP="006B23D7">
      <w:pPr>
        <w:pStyle w:val="Prrafo"/>
        <w:numPr>
          <w:ilvl w:val="1"/>
          <w:numId w:val="6"/>
        </w:numPr>
        <w:ind w:left="567"/>
      </w:pPr>
      <w:r w:rsidRPr="00E51638">
        <w:t xml:space="preserve">En cambio, respecto a la alegada violación al orden democrático y de acceso a la justicia, </w:t>
      </w:r>
      <w:r w:rsidRPr="00E51638">
        <w:rPr>
          <w:u w:val="single"/>
        </w:rPr>
        <w:t>la Sala Superior estimó que la norma es inconstitucional, por no superar un examen de proporcionalidad y por vulnerar el principio de progresividad</w:t>
      </w:r>
      <w:r w:rsidRPr="00E51638">
        <w:t xml:space="preserve">. Si bien la norma controvertida persigue un fin constitucionalmente legítimo, ya que busca salvaguardar el principio de división de poderes, lo cierto es que no es razonable, pues pretende excluir de la jurisdicción electoral todos los actos parlamentarios, sin formular excepción. Por otro lado, la doctrina judicial de </w:t>
      </w:r>
      <w:r w:rsidR="00B75D72" w:rsidRPr="00E51638">
        <w:t>la</w:t>
      </w:r>
      <w:r w:rsidRPr="00E51638">
        <w:t xml:space="preserve"> Sala Superior amplió el acceso a la justicia contra actos parlamentarios que afecten el derecho de ser votado, lo que implicó una progresión en el ejercicio de los derechos humanos.</w:t>
      </w:r>
    </w:p>
    <w:p w14:paraId="18E3C790" w14:textId="135850F8" w:rsidR="006B23D7" w:rsidRPr="00E51638" w:rsidRDefault="006B23D7" w:rsidP="006B23D7">
      <w:pPr>
        <w:pStyle w:val="Prrafo"/>
        <w:numPr>
          <w:ilvl w:val="1"/>
          <w:numId w:val="6"/>
        </w:numPr>
        <w:ind w:left="567"/>
      </w:pPr>
      <w:r w:rsidRPr="00E51638">
        <w:t>No obstante, la norma cuestionada puede admitir una interpretación conforme con la Constitución, consistente en que los medios de impugnación en materia electoral son improcedentes para impugnar actos del Congreso de la Unión siempre que no afecten derechos humanos de participación política o naturaleza político-electoral.</w:t>
      </w:r>
    </w:p>
    <w:p w14:paraId="68CE3ED7" w14:textId="77777777" w:rsidR="006B23D7" w:rsidRPr="00E51638" w:rsidRDefault="006B23D7" w:rsidP="006B23D7">
      <w:pPr>
        <w:pStyle w:val="Prrafo"/>
        <w:numPr>
          <w:ilvl w:val="0"/>
          <w:numId w:val="6"/>
        </w:numPr>
        <w:ind w:left="0" w:hanging="567"/>
      </w:pPr>
      <w:r w:rsidRPr="00E51638">
        <w:rPr>
          <w:b/>
        </w:rPr>
        <w:lastRenderedPageBreak/>
        <w:t xml:space="preserve">Alegatos. </w:t>
      </w:r>
      <w:r w:rsidRPr="00E51638">
        <w:t>Mediante acuerdos de diecinueve y veintitrés de mayo, así como siete y trece de junio de dos mil veintidós, el Ministro instructor tuvo por rendidos los informes de la Cámaras de Senadores y de Diputados del Congreso de la Unión, y del Poder Ejecutivo Federal; consecuentemente, puso los autos a la vista de las partes a efecto de que formularan alegatos.</w:t>
      </w:r>
    </w:p>
    <w:p w14:paraId="3AABE3E7" w14:textId="6C0A78EE" w:rsidR="006B23D7" w:rsidRPr="00E51638" w:rsidRDefault="006B23D7" w:rsidP="006B23D7">
      <w:pPr>
        <w:pStyle w:val="Prrafo"/>
        <w:numPr>
          <w:ilvl w:val="0"/>
          <w:numId w:val="6"/>
        </w:numPr>
        <w:ind w:left="0" w:hanging="567"/>
      </w:pPr>
      <w:r w:rsidRPr="00E51638">
        <w:rPr>
          <w:bCs/>
        </w:rPr>
        <w:t>Luego, respectivamente, por acuerdos</w:t>
      </w:r>
      <w:r w:rsidRPr="00E51638">
        <w:rPr>
          <w:b/>
        </w:rPr>
        <w:t xml:space="preserve"> </w:t>
      </w:r>
      <w:r w:rsidRPr="00E51638">
        <w:t>de seis y veintitrés de junio de dos mil veintidós, el Ministro instructor tuvo a las partes formulando oportunamente alegatos, los cuales serán valorados por este Alto Tribunal.</w:t>
      </w:r>
      <w:bookmarkEnd w:id="12"/>
    </w:p>
    <w:p w14:paraId="6F52D5E1" w14:textId="77777777" w:rsidR="006B23D7" w:rsidRPr="00E51638" w:rsidRDefault="006B23D7" w:rsidP="006B23D7">
      <w:pPr>
        <w:pStyle w:val="Prrafo"/>
        <w:numPr>
          <w:ilvl w:val="0"/>
          <w:numId w:val="6"/>
        </w:numPr>
        <w:ind w:left="0" w:hanging="567"/>
        <w:rPr>
          <w:color w:val="000000" w:themeColor="text1"/>
        </w:rPr>
      </w:pPr>
      <w:r w:rsidRPr="00E51638">
        <w:rPr>
          <w:b/>
          <w:bCs/>
        </w:rPr>
        <w:t xml:space="preserve">Pedimento </w:t>
      </w:r>
      <w:r w:rsidRPr="00E51638">
        <w:rPr>
          <w:b/>
          <w:bCs/>
          <w:color w:val="000000" w:themeColor="text1"/>
        </w:rPr>
        <w:t xml:space="preserve">de la Fiscalía General de la República. </w:t>
      </w:r>
      <w:r w:rsidRPr="00E51638">
        <w:rPr>
          <w:color w:val="000000" w:themeColor="text1"/>
        </w:rPr>
        <w:t>Dicha institución no emitió opinión en el presente asunto.</w:t>
      </w:r>
    </w:p>
    <w:p w14:paraId="57E40515" w14:textId="4E616617" w:rsidR="006B23D7" w:rsidRPr="00E51638" w:rsidRDefault="006B23D7" w:rsidP="006B23D7">
      <w:pPr>
        <w:pStyle w:val="Prrafo"/>
        <w:numPr>
          <w:ilvl w:val="0"/>
          <w:numId w:val="6"/>
        </w:numPr>
        <w:ind w:left="0" w:hanging="567"/>
        <w:rPr>
          <w:color w:val="000000" w:themeColor="text1"/>
        </w:rPr>
      </w:pPr>
      <w:r w:rsidRPr="00E51638">
        <w:rPr>
          <w:b/>
        </w:rPr>
        <w:t>Cierre de instrucción.</w:t>
      </w:r>
      <w:r w:rsidRPr="00E51638">
        <w:t xml:space="preserve"> Agotado en sus términos el trámite respectivo y previo acuerdo de cierre de instrucción, se recibió el expediente en la ponencia del Ministro instructor para la elaboración del proyecto de resolución correspondiente.</w:t>
      </w:r>
    </w:p>
    <w:p w14:paraId="61A3E9A4" w14:textId="3B79B63E" w:rsidR="006B23D7" w:rsidRPr="00E51638" w:rsidRDefault="006B23D7" w:rsidP="006B23D7">
      <w:pPr>
        <w:pStyle w:val="Ttulo3"/>
        <w:numPr>
          <w:ilvl w:val="0"/>
          <w:numId w:val="7"/>
        </w:numPr>
        <w:ind w:left="0" w:hanging="11"/>
      </w:pPr>
      <w:r w:rsidRPr="00E51638">
        <w:t xml:space="preserve"> </w:t>
      </w:r>
      <w:bookmarkStart w:id="13" w:name="_Toc108556658"/>
      <w:bookmarkStart w:id="14" w:name="_Toc108630495"/>
      <w:bookmarkStart w:id="15" w:name="_Toc108795860"/>
      <w:bookmarkStart w:id="16" w:name="_Toc109004114"/>
      <w:bookmarkStart w:id="17" w:name="_Toc113984432"/>
      <w:r w:rsidRPr="00E51638">
        <w:t>COMPETENCIA</w:t>
      </w:r>
      <w:bookmarkEnd w:id="13"/>
      <w:bookmarkEnd w:id="14"/>
      <w:bookmarkEnd w:id="15"/>
      <w:bookmarkEnd w:id="16"/>
      <w:bookmarkEnd w:id="17"/>
      <w:r w:rsidR="00132E9B">
        <w:t>.</w:t>
      </w:r>
    </w:p>
    <w:p w14:paraId="684731CF" w14:textId="55113B59" w:rsidR="006B23D7" w:rsidRPr="00E51638" w:rsidRDefault="006B23D7" w:rsidP="006B23D7">
      <w:pPr>
        <w:pStyle w:val="Prrafo"/>
        <w:numPr>
          <w:ilvl w:val="0"/>
          <w:numId w:val="6"/>
        </w:numPr>
        <w:ind w:left="0" w:hanging="567"/>
      </w:pPr>
      <w:r w:rsidRPr="00E51638">
        <w:t>El Tribunal Pleno de la Suprema Corte de Justicia de la Nación es competente para resolver la presente acción de inconstitucionalidad, en términos de lo dispuesto en los artículos 105, fracción II, incisos b) y f), de la Constitución General</w:t>
      </w:r>
      <w:r w:rsidR="0033528A" w:rsidRPr="00E51638">
        <w:rPr>
          <w:rStyle w:val="Refdenotaalpie"/>
        </w:rPr>
        <w:footnoteReference w:id="1"/>
      </w:r>
      <w:r w:rsidRPr="00E51638">
        <w:t>; 1º de la Ley Reglamentaria de las Fracciones I y II del Artículo 105 de la Constitución Política de los Estados Unidos Mexicanos</w:t>
      </w:r>
      <w:r w:rsidR="0033528A" w:rsidRPr="00E51638">
        <w:rPr>
          <w:rStyle w:val="Refdenotaalpie"/>
        </w:rPr>
        <w:footnoteReference w:id="2"/>
      </w:r>
      <w:r w:rsidRPr="00E51638">
        <w:t xml:space="preserve"> (en adelante Ley </w:t>
      </w:r>
      <w:r w:rsidRPr="00E51638">
        <w:lastRenderedPageBreak/>
        <w:t>Reglamentaria); y 10, fracción I, de la Ley Orgánica del Poder Judicial de la Federación</w:t>
      </w:r>
      <w:r w:rsidR="0033528A" w:rsidRPr="00E51638">
        <w:rPr>
          <w:rStyle w:val="Refdenotaalpie"/>
        </w:rPr>
        <w:footnoteReference w:id="3"/>
      </w:r>
      <w:r w:rsidRPr="00E51638">
        <w:t>, toda vez que se planteó la posible contradicción entre la Ley General del Sistemas de Medios de Impugnación en Materia Electoral y la Constitución General, así como la Convención Americana sobre Derechos Humanos.</w:t>
      </w:r>
    </w:p>
    <w:p w14:paraId="004F5214" w14:textId="117C2DC3" w:rsidR="006B23D7" w:rsidRPr="00E51638" w:rsidRDefault="007924E1" w:rsidP="006B23D7">
      <w:pPr>
        <w:pStyle w:val="Ttulo3"/>
        <w:numPr>
          <w:ilvl w:val="0"/>
          <w:numId w:val="7"/>
        </w:numPr>
        <w:ind w:left="0" w:hanging="11"/>
      </w:pPr>
      <w:bookmarkStart w:id="18" w:name="_Toc108556659"/>
      <w:bookmarkStart w:id="19" w:name="_Toc108630496"/>
      <w:bookmarkStart w:id="20" w:name="_Toc108795861"/>
      <w:bookmarkStart w:id="21" w:name="_Toc109004115"/>
      <w:bookmarkStart w:id="22" w:name="_Toc113984433"/>
      <w:r>
        <w:t xml:space="preserve"> </w:t>
      </w:r>
      <w:r w:rsidR="006B23D7" w:rsidRPr="00E51638">
        <w:t>OPORTUNIDAD</w:t>
      </w:r>
      <w:bookmarkEnd w:id="18"/>
      <w:bookmarkEnd w:id="19"/>
      <w:bookmarkEnd w:id="20"/>
      <w:bookmarkEnd w:id="21"/>
      <w:bookmarkEnd w:id="22"/>
      <w:r>
        <w:t>.</w:t>
      </w:r>
    </w:p>
    <w:p w14:paraId="7E0C74A5" w14:textId="69DE3E90" w:rsidR="006B23D7" w:rsidRPr="00E51638" w:rsidRDefault="006B23D7" w:rsidP="006B23D7">
      <w:pPr>
        <w:pStyle w:val="Prrafo"/>
        <w:numPr>
          <w:ilvl w:val="0"/>
          <w:numId w:val="6"/>
        </w:numPr>
        <w:ind w:left="0" w:hanging="567"/>
      </w:pPr>
      <w:bookmarkStart w:id="23" w:name="_Hlk45890931"/>
      <w:r w:rsidRPr="00E51638">
        <w:t>Conforme al artículo 60 de la Ley Reglamentaria de las Fracciones I y II del Artículo 105 de la Constitución General</w:t>
      </w:r>
      <w:r w:rsidR="00136E0E" w:rsidRPr="00E51638">
        <w:rPr>
          <w:rStyle w:val="Refdenotaalpie"/>
        </w:rPr>
        <w:footnoteReference w:id="4"/>
      </w:r>
      <w:r w:rsidRPr="00E51638">
        <w:t>, el plazo para promover acción de inconstitucionalidad es de treinta días naturales, computados a partir del día siguiente a la fecha en que la norma general sea publicada en el medio oficial correspondiente, precisando que, como regla general, si el último día del plazo fuera inhábil, la demanda podrá presentarse el primer día hábil siguiente. No obstante, en el párrafo segundo del referido precepto se especifica que en materia electoral todos los días y las horas son hábiles, de manera que el cómputo de la oportunidad en esta materia vence incluso si se trata de un día que ordinariamente es inhábil.</w:t>
      </w:r>
    </w:p>
    <w:p w14:paraId="3EE3E4AA" w14:textId="40B8422C" w:rsidR="006B23D7" w:rsidRPr="00E51638" w:rsidRDefault="006B23D7" w:rsidP="006B23D7">
      <w:pPr>
        <w:pStyle w:val="Prrafo"/>
        <w:numPr>
          <w:ilvl w:val="0"/>
          <w:numId w:val="6"/>
        </w:numPr>
        <w:ind w:left="0" w:hanging="567"/>
      </w:pPr>
      <w:r w:rsidRPr="00E51638">
        <w:t>En este caso las acciones de inconstitucionalidad son oportunas, pues el Decreto por el que se adiciona un inciso h) al numeral 1 del artículo 10 de la Ley General del Sistemas de Medios de Impugnación en Materia Electoral</w:t>
      </w:r>
      <w:r w:rsidR="00136E0E" w:rsidRPr="00E51638">
        <w:t>,</w:t>
      </w:r>
      <w:r w:rsidRPr="00E51638">
        <w:t xml:space="preserve"> fue publicado en el Diario Oficial de la Federación el diecinueve de abril de dos mil veintidós, de </w:t>
      </w:r>
      <w:r w:rsidRPr="00E51638">
        <w:lastRenderedPageBreak/>
        <w:t>modo que el plazo para promover transcurrió del veinte de abril al diecinueve de mayo siguientes.</w:t>
      </w:r>
    </w:p>
    <w:p w14:paraId="47C8263F" w14:textId="40A7331A" w:rsidR="006B23D7" w:rsidRPr="00E51638" w:rsidRDefault="006B23D7" w:rsidP="006B23D7">
      <w:pPr>
        <w:pStyle w:val="Prrafo"/>
        <w:numPr>
          <w:ilvl w:val="0"/>
          <w:numId w:val="6"/>
        </w:numPr>
        <w:ind w:left="0" w:hanging="567"/>
      </w:pPr>
      <w:r w:rsidRPr="00E51638">
        <w:t xml:space="preserve">Luego, si la demanda del </w:t>
      </w:r>
      <w:r w:rsidRPr="00E51638">
        <w:rPr>
          <w:bCs/>
        </w:rPr>
        <w:t xml:space="preserve">partido político Movimiento Ciudadano </w:t>
      </w:r>
      <w:r w:rsidRPr="00E51638">
        <w:t xml:space="preserve">fue presentada el veintiséis de abril de dos mil veintidós, mientras que la de </w:t>
      </w:r>
      <w:bookmarkStart w:id="24" w:name="_Hlk106011646"/>
      <w:r w:rsidR="00136E0E" w:rsidRPr="00E51638">
        <w:t xml:space="preserve">la minoría parlamentaria accionante </w:t>
      </w:r>
      <w:bookmarkEnd w:id="24"/>
      <w:r w:rsidRPr="00E51638">
        <w:t xml:space="preserve">el diecinueve de mayo siguiente, ambas en el buzón judicial automatizado del edificio sede de esta Suprema Corte de Justicia de la Nación, entonces, </w:t>
      </w:r>
      <w:r w:rsidR="00136E0E" w:rsidRPr="00E51638">
        <w:t xml:space="preserve">es evidente que </w:t>
      </w:r>
      <w:r w:rsidRPr="00E51638">
        <w:rPr>
          <w:b/>
          <w:bCs/>
        </w:rPr>
        <w:t>su presentación fue oportuna</w:t>
      </w:r>
      <w:r w:rsidRPr="00E51638">
        <w:t xml:space="preserve">. </w:t>
      </w:r>
    </w:p>
    <w:p w14:paraId="3E6B26F9" w14:textId="30CE5B2A" w:rsidR="006B23D7" w:rsidRPr="00E51638" w:rsidRDefault="007924E1" w:rsidP="004C789E">
      <w:pPr>
        <w:pStyle w:val="Ttulo3"/>
        <w:numPr>
          <w:ilvl w:val="0"/>
          <w:numId w:val="7"/>
        </w:numPr>
        <w:spacing w:before="0" w:line="276" w:lineRule="auto"/>
        <w:ind w:left="0" w:firstLine="0"/>
      </w:pPr>
      <w:bookmarkStart w:id="25" w:name="_Toc108556660"/>
      <w:bookmarkStart w:id="26" w:name="_Toc108630497"/>
      <w:bookmarkStart w:id="27" w:name="_Toc108795862"/>
      <w:bookmarkStart w:id="28" w:name="_Toc109004116"/>
      <w:bookmarkStart w:id="29" w:name="_Toc113984434"/>
      <w:bookmarkEnd w:id="23"/>
      <w:r>
        <w:t xml:space="preserve"> </w:t>
      </w:r>
      <w:r w:rsidR="006B23D7" w:rsidRPr="00E51638">
        <w:t>LEGITIMACIÓN</w:t>
      </w:r>
      <w:bookmarkEnd w:id="25"/>
      <w:bookmarkEnd w:id="26"/>
      <w:bookmarkEnd w:id="27"/>
      <w:bookmarkEnd w:id="28"/>
      <w:bookmarkEnd w:id="29"/>
      <w:r>
        <w:t>.</w:t>
      </w:r>
    </w:p>
    <w:p w14:paraId="2FC2E5F1" w14:textId="77777777" w:rsidR="006B23D7" w:rsidRPr="00E51638" w:rsidRDefault="006B23D7" w:rsidP="006B23D7">
      <w:pPr>
        <w:pStyle w:val="Prrafo"/>
        <w:numPr>
          <w:ilvl w:val="0"/>
          <w:numId w:val="6"/>
        </w:numPr>
        <w:ind w:left="0" w:hanging="567"/>
      </w:pPr>
      <w:bookmarkStart w:id="30" w:name="_Hlk45890947"/>
      <w:r w:rsidRPr="00E51638">
        <w:t xml:space="preserve">La acción fue </w:t>
      </w:r>
      <w:r w:rsidRPr="00E51638">
        <w:rPr>
          <w:b/>
          <w:bCs/>
        </w:rPr>
        <w:t>promovida por partes legitimadas</w:t>
      </w:r>
      <w:r w:rsidRPr="00E51638">
        <w:t>.</w:t>
      </w:r>
    </w:p>
    <w:p w14:paraId="62FC0CF7" w14:textId="5C1461EE" w:rsidR="006B23D7" w:rsidRPr="00E51638" w:rsidRDefault="006B23D7" w:rsidP="006B23D7">
      <w:pPr>
        <w:pStyle w:val="Prrafo"/>
        <w:outlineLvl w:val="3"/>
        <w:rPr>
          <w:b/>
          <w:bCs/>
        </w:rPr>
      </w:pPr>
      <w:bookmarkStart w:id="31" w:name="_Toc108556661"/>
      <w:bookmarkStart w:id="32" w:name="_Toc108630498"/>
      <w:bookmarkStart w:id="33" w:name="_Toc108795863"/>
      <w:bookmarkStart w:id="34" w:name="_Toc109004117"/>
      <w:bookmarkStart w:id="35" w:name="_Toc113984435"/>
      <w:r w:rsidRPr="00E51638">
        <w:rPr>
          <w:b/>
          <w:bCs/>
        </w:rPr>
        <w:t>I</w:t>
      </w:r>
      <w:r w:rsidR="007924E1">
        <w:rPr>
          <w:b/>
          <w:bCs/>
        </w:rPr>
        <w:t>II</w:t>
      </w:r>
      <w:r w:rsidRPr="00E51638">
        <w:rPr>
          <w:b/>
          <w:bCs/>
        </w:rPr>
        <w:t>.1</w:t>
      </w:r>
      <w:r w:rsidR="00AC7F54" w:rsidRPr="00E51638">
        <w:rPr>
          <w:b/>
          <w:bCs/>
        </w:rPr>
        <w:t>.</w:t>
      </w:r>
      <w:r w:rsidRPr="00E51638">
        <w:rPr>
          <w:b/>
          <w:bCs/>
        </w:rPr>
        <w:t xml:space="preserve"> Partido Político Movimiento Ciudadano</w:t>
      </w:r>
      <w:bookmarkEnd w:id="31"/>
      <w:bookmarkEnd w:id="32"/>
      <w:bookmarkEnd w:id="33"/>
      <w:bookmarkEnd w:id="34"/>
      <w:bookmarkEnd w:id="35"/>
      <w:r w:rsidR="007924E1">
        <w:rPr>
          <w:b/>
          <w:bCs/>
        </w:rPr>
        <w:t>.</w:t>
      </w:r>
    </w:p>
    <w:p w14:paraId="7A8A4554" w14:textId="60EDD7C9" w:rsidR="006B23D7" w:rsidRPr="00E51638" w:rsidRDefault="006B23D7" w:rsidP="006B23D7">
      <w:pPr>
        <w:pStyle w:val="Prrafo"/>
        <w:numPr>
          <w:ilvl w:val="0"/>
          <w:numId w:val="6"/>
        </w:numPr>
        <w:ind w:left="0" w:hanging="567"/>
      </w:pPr>
      <w:r w:rsidRPr="00E51638">
        <w:t xml:space="preserve">De conformidad </w:t>
      </w:r>
      <w:r w:rsidRPr="00E51638">
        <w:rPr>
          <w:lang w:val="es-ES"/>
        </w:rPr>
        <w:t>con los artículos 105, fracción II, inciso f), de la Constitución General</w:t>
      </w:r>
      <w:r w:rsidR="00AC7F54" w:rsidRPr="00E51638">
        <w:rPr>
          <w:rStyle w:val="Refdenotaalpie"/>
          <w:lang w:val="es-ES"/>
        </w:rPr>
        <w:footnoteReference w:id="5"/>
      </w:r>
      <w:r w:rsidRPr="00E51638">
        <w:rPr>
          <w:lang w:val="es-ES"/>
        </w:rPr>
        <w:t xml:space="preserve"> y 62, último párrafo, de la Ley Reglamentaria de la Materia</w:t>
      </w:r>
      <w:r w:rsidR="00AC7F54" w:rsidRPr="00E51638">
        <w:rPr>
          <w:rStyle w:val="Refdenotaalpie"/>
          <w:lang w:val="es-ES"/>
        </w:rPr>
        <w:footnoteReference w:id="6"/>
      </w:r>
      <w:r w:rsidRPr="00E51638">
        <w:rPr>
          <w:lang w:val="es-ES"/>
        </w:rPr>
        <w:t>, los partidos políticos con registro ante el Instituto Nacional Electoral, por conducto de sus dirigentes nacionales, podrán promover acción de inconstitucionalidad en contra de leyes federales o locales.</w:t>
      </w:r>
    </w:p>
    <w:p w14:paraId="2592B369" w14:textId="14FDD070" w:rsidR="006B23D7" w:rsidRPr="00E51638" w:rsidRDefault="006B23D7" w:rsidP="006B23D7">
      <w:pPr>
        <w:pStyle w:val="Prrafo"/>
        <w:numPr>
          <w:ilvl w:val="0"/>
          <w:numId w:val="6"/>
        </w:numPr>
        <w:ind w:left="0" w:hanging="567"/>
      </w:pPr>
      <w:r w:rsidRPr="00E51638">
        <w:rPr>
          <w:lang w:val="es-ES"/>
        </w:rPr>
        <w:t xml:space="preserve">Asimismo, con fundamento en los artículos citados, los partidos políticos podrán promover acciones de inconstitucionalidad, siempre y cuando cumplan con los </w:t>
      </w:r>
      <w:r w:rsidRPr="00E51638">
        <w:rPr>
          <w:lang w:val="es-ES"/>
        </w:rPr>
        <w:lastRenderedPageBreak/>
        <w:t xml:space="preserve">siguientes requisitos: </w:t>
      </w:r>
      <w:r w:rsidR="00AC7F54" w:rsidRPr="00E51638">
        <w:rPr>
          <w:b/>
          <w:lang w:val="es-ES"/>
        </w:rPr>
        <w:t>a)</w:t>
      </w:r>
      <w:r w:rsidRPr="00E51638">
        <w:rPr>
          <w:b/>
          <w:lang w:val="es-ES"/>
        </w:rPr>
        <w:t xml:space="preserve"> </w:t>
      </w:r>
      <w:r w:rsidRPr="00E51638">
        <w:rPr>
          <w:lang w:val="es-ES"/>
        </w:rPr>
        <w:t xml:space="preserve">Cuenten con registro ante la autoridad electoral correspondiente; </w:t>
      </w:r>
      <w:r w:rsidR="00AC7F54" w:rsidRPr="00E51638">
        <w:rPr>
          <w:b/>
          <w:bCs/>
          <w:lang w:val="es-ES"/>
        </w:rPr>
        <w:t>b)</w:t>
      </w:r>
      <w:r w:rsidRPr="00E51638">
        <w:rPr>
          <w:b/>
          <w:bCs/>
          <w:lang w:val="es-ES"/>
        </w:rPr>
        <w:t xml:space="preserve"> </w:t>
      </w:r>
      <w:r w:rsidRPr="00E51638">
        <w:rPr>
          <w:lang w:val="es-ES"/>
        </w:rPr>
        <w:t xml:space="preserve">Promuevan por conducto de su dirigencia nacional o estatal, según sea el caso; </w:t>
      </w:r>
      <w:r w:rsidR="00AC7F54" w:rsidRPr="00E51638">
        <w:rPr>
          <w:b/>
          <w:bCs/>
          <w:lang w:val="es-ES"/>
        </w:rPr>
        <w:t>c)</w:t>
      </w:r>
      <w:r w:rsidRPr="00E51638">
        <w:rPr>
          <w:b/>
          <w:bCs/>
          <w:lang w:val="es-ES"/>
        </w:rPr>
        <w:t xml:space="preserve"> </w:t>
      </w:r>
      <w:r w:rsidRPr="00E51638">
        <w:rPr>
          <w:lang w:val="es-ES"/>
        </w:rPr>
        <w:t>Quien suscriba a nombre y en representación del partido político cuente con facultades para ello; y</w:t>
      </w:r>
      <w:r w:rsidR="007924E1">
        <w:rPr>
          <w:lang w:val="es-ES"/>
        </w:rPr>
        <w:t>,</w:t>
      </w:r>
      <w:r w:rsidRPr="00E51638">
        <w:rPr>
          <w:lang w:val="es-ES"/>
        </w:rPr>
        <w:t xml:space="preserve"> </w:t>
      </w:r>
      <w:r w:rsidR="00AC7F54" w:rsidRPr="00E51638">
        <w:rPr>
          <w:b/>
          <w:bCs/>
          <w:lang w:val="es-ES"/>
        </w:rPr>
        <w:t>d)</w:t>
      </w:r>
      <w:r w:rsidRPr="00E51638">
        <w:rPr>
          <w:b/>
          <w:bCs/>
          <w:lang w:val="es-ES"/>
        </w:rPr>
        <w:t xml:space="preserve"> </w:t>
      </w:r>
      <w:r w:rsidRPr="00E51638">
        <w:rPr>
          <w:lang w:val="es-ES"/>
        </w:rPr>
        <w:t>Se impugnen normas de naturaleza electoral y tratándose de partidos políticos con registro estatal, exclusivamente en contra de leyes electorales expedidas por el órgano legislativo del Estado que les otorgó el registro.</w:t>
      </w:r>
    </w:p>
    <w:p w14:paraId="07F97B6B" w14:textId="77777777" w:rsidR="006B23D7" w:rsidRPr="00E51638" w:rsidRDefault="006B23D7" w:rsidP="006B23D7">
      <w:pPr>
        <w:pStyle w:val="Prrafo"/>
        <w:numPr>
          <w:ilvl w:val="0"/>
          <w:numId w:val="6"/>
        </w:numPr>
        <w:ind w:left="0" w:hanging="567"/>
      </w:pPr>
      <w:r w:rsidRPr="00E51638">
        <w:t xml:space="preserve">Al respecto, de los anexos acompañados al oficio número INE/DJ/5889/2022, del Director Jurídico del Instituto Nacional Electoral, se advierte que Movimiento Ciudadano cuenta con registro como partido político nacional. </w:t>
      </w:r>
    </w:p>
    <w:p w14:paraId="09007B29" w14:textId="10FE5DBF" w:rsidR="006B23D7" w:rsidRPr="00E51638" w:rsidRDefault="006B23D7" w:rsidP="006B23D7">
      <w:pPr>
        <w:pStyle w:val="Prrafo"/>
        <w:numPr>
          <w:ilvl w:val="0"/>
          <w:numId w:val="6"/>
        </w:numPr>
        <w:ind w:left="0" w:hanging="567"/>
      </w:pPr>
      <w:r w:rsidRPr="00E51638">
        <w:t>Por su parte, del artículo 20, numeral 2, incisos a) y o), de los Estatutos de Movimiento Ciudadano</w:t>
      </w:r>
      <w:r w:rsidR="00AC7F54" w:rsidRPr="00E51638">
        <w:rPr>
          <w:rStyle w:val="Refdenotaalpie"/>
        </w:rPr>
        <w:footnoteReference w:id="7"/>
      </w:r>
      <w:r w:rsidRPr="00E51638">
        <w:t xml:space="preserve">, se desprende que son atribuciones y facultades de la Comisión Operativa Nacional ejercer la representación política y legal del partido político en todo tipo de asuntos de carácter judicial, específicamente, para promover acciones de inconstitucionalidad en materia electoral. </w:t>
      </w:r>
    </w:p>
    <w:p w14:paraId="72818BB7" w14:textId="77777777" w:rsidR="006B23D7" w:rsidRPr="00E51638" w:rsidRDefault="006B23D7" w:rsidP="006B23D7">
      <w:pPr>
        <w:pStyle w:val="Prrafo"/>
        <w:numPr>
          <w:ilvl w:val="0"/>
          <w:numId w:val="6"/>
        </w:numPr>
        <w:ind w:left="0" w:hanging="567"/>
      </w:pPr>
      <w:r w:rsidRPr="00E51638">
        <w:t>Aunado a esto, el citado artículo 20, en su numeral 1</w:t>
      </w:r>
      <w:r w:rsidRPr="00E51638">
        <w:rPr>
          <w:rStyle w:val="Refdenotaalpie"/>
        </w:rPr>
        <w:footnoteReference w:id="8"/>
      </w:r>
      <w:r w:rsidRPr="00E51638">
        <w:t xml:space="preserve">, dispone que la Comisión Operativa Nacional se forma por nueve integrantes y que todos los acuerdos, </w:t>
      </w:r>
      <w:r w:rsidRPr="00E51638">
        <w:lastRenderedPageBreak/>
        <w:t>resoluciones y actos de la citada Comisión tendrán plena validez con la aprobación y la firma de la mayoría y, en caso de urgencia, suscritos únicamente con la firma de la coordinador o coordinador, en términos de lo previsto en el artículo 21, numeral 5, de los aludidos estatutos.</w:t>
      </w:r>
    </w:p>
    <w:p w14:paraId="6ED9D1AE" w14:textId="77777777" w:rsidR="006B23D7" w:rsidRPr="00E51638" w:rsidRDefault="006B23D7" w:rsidP="006B23D7">
      <w:pPr>
        <w:pStyle w:val="Prrafo"/>
        <w:numPr>
          <w:ilvl w:val="0"/>
          <w:numId w:val="6"/>
        </w:numPr>
        <w:ind w:left="0" w:hanging="567"/>
      </w:pPr>
      <w:r w:rsidRPr="00E51638">
        <w:t xml:space="preserve">Por otra parte, de acuerdo con la certificación anexa al oficio remitido por el Director Jurídico del Instituto Nacional Electoral, la Comisión Operativa Nacional de Movimiento Ciudadano se integra por </w:t>
      </w:r>
      <w:r w:rsidRPr="00E51638">
        <w:rPr>
          <w:lang w:val="es-ES"/>
        </w:rPr>
        <w:t>Dante Alfonso Delgado Rannauro, Ana Lucía Baduy Valles</w:t>
      </w:r>
      <w:r w:rsidRPr="00E51638">
        <w:t xml:space="preserve">, </w:t>
      </w:r>
      <w:r w:rsidRPr="00E51638">
        <w:rPr>
          <w:lang w:val="es-ES"/>
        </w:rPr>
        <w:t>Benjamín Alamillo González, Jacobo David Cheja Alfaro, Lucía Alejandra Puente García, Martha Patricia Herrera González, Priscilla Franco Barba, Rubén Isaac Barrios Ochoa y Tabita Ortiz Hernández, quienes precisamente suscriben la demanda en su carácter de coordinador e integrantes del órgano directivo nacional.</w:t>
      </w:r>
    </w:p>
    <w:p w14:paraId="354DF720" w14:textId="3D5C72A1" w:rsidR="006B23D7" w:rsidRPr="00E51638" w:rsidRDefault="006B23D7" w:rsidP="006B23D7">
      <w:pPr>
        <w:pStyle w:val="Prrafo"/>
        <w:numPr>
          <w:ilvl w:val="0"/>
          <w:numId w:val="6"/>
        </w:numPr>
        <w:ind w:left="0" w:hanging="567"/>
      </w:pPr>
      <w:r w:rsidRPr="00E51638">
        <w:t xml:space="preserve">Cabe agregar que la demanda de acción de inconstitucionalidad también fue suscrita por </w:t>
      </w:r>
      <w:r w:rsidR="00AF245F" w:rsidRPr="00E51638">
        <w:rPr>
          <w:lang w:val="es-ES"/>
        </w:rPr>
        <w:t>el</w:t>
      </w:r>
      <w:r w:rsidRPr="00E51638">
        <w:t xml:space="preserve"> </w:t>
      </w:r>
      <w:r w:rsidR="00AC7F54" w:rsidRPr="00E51638">
        <w:t>S</w:t>
      </w:r>
      <w:r w:rsidRPr="00E51638">
        <w:t xml:space="preserve">ecretario </w:t>
      </w:r>
      <w:r w:rsidR="00AC7F54" w:rsidRPr="00E51638">
        <w:t>G</w:t>
      </w:r>
      <w:r w:rsidRPr="00E51638">
        <w:t>eneral de Acuerdos de la Comisión Operativa Nacional del partido político nacional</w:t>
      </w:r>
      <w:r w:rsidR="00AC7F54" w:rsidRPr="00E51638">
        <w:t xml:space="preserve"> </w:t>
      </w:r>
      <w:r w:rsidRPr="00E51638">
        <w:t>Movimiento</w:t>
      </w:r>
      <w:r w:rsidR="00AC7F54" w:rsidRPr="00E51638">
        <w:t xml:space="preserve"> </w:t>
      </w:r>
      <w:r w:rsidRPr="00E51638">
        <w:t>Ciudadano</w:t>
      </w:r>
      <w:r w:rsidR="00AC7F54" w:rsidRPr="00E51638">
        <w:t xml:space="preserve">; no obstante, </w:t>
      </w:r>
      <w:r w:rsidR="00AF245F" w:rsidRPr="00E51638">
        <w:t>al ya haber quedado demostrada la personería de quienes acuden en representación del partido político, este Tribunal Pleno no emitirá pronunciamiento con relación a si esta autoridad intrapartidista cuenta o no con facultades de representación</w:t>
      </w:r>
      <w:r w:rsidRPr="00E51638">
        <w:t>.</w:t>
      </w:r>
    </w:p>
    <w:p w14:paraId="0B0E444B" w14:textId="1C6155FD" w:rsidR="006B23D7" w:rsidRPr="00E51638" w:rsidRDefault="006B23D7" w:rsidP="006B23D7">
      <w:pPr>
        <w:pStyle w:val="Prrafo"/>
        <w:numPr>
          <w:ilvl w:val="0"/>
          <w:numId w:val="6"/>
        </w:numPr>
        <w:ind w:left="0" w:hanging="567"/>
      </w:pPr>
      <w:r w:rsidRPr="00E51638">
        <w:rPr>
          <w:lang w:val="es-ES"/>
        </w:rPr>
        <w:t xml:space="preserve">Finalmente, el análisis referente a si el </w:t>
      </w:r>
      <w:r w:rsidRPr="00E51638">
        <w:t>Decreto por el que se adiciona un inciso h) al numeral 1 del artículo 10</w:t>
      </w:r>
      <w:r w:rsidR="00776DA5">
        <w:t xml:space="preserve"> </w:t>
      </w:r>
      <w:r w:rsidRPr="00E51638">
        <w:t>de la Ley General del Sistemas de Medios de Impugnación en Materia Electoral</w:t>
      </w:r>
      <w:r w:rsidR="00AF245F" w:rsidRPr="00E51638">
        <w:t>,</w:t>
      </w:r>
      <w:r w:rsidRPr="00E51638">
        <w:t xml:space="preserve"> constituye o no una norma de naturaleza electoral, será motivo de pronunciamiento en el siguiente considerando, por estar vinculado con la </w:t>
      </w:r>
      <w:r w:rsidRPr="00E51638">
        <w:rPr>
          <w:lang w:val="es-ES_tradnl"/>
        </w:rPr>
        <w:t xml:space="preserve">alegada </w:t>
      </w:r>
      <w:r w:rsidRPr="00E51638">
        <w:t xml:space="preserve">causal de improcedencia hecha valer por la </w:t>
      </w:r>
      <w:r w:rsidRPr="00E51638">
        <w:rPr>
          <w:bCs/>
        </w:rPr>
        <w:t>Cámara de Diputados del Congreso de la Unión, con motivo del informe presentado en la acción de inconstitucionalidad 62/2022, en la que sostienen que el partido político carece de legitimación por pretender cuestionar una norma que no es de naturaleza electoral.</w:t>
      </w:r>
    </w:p>
    <w:p w14:paraId="3D5EB788" w14:textId="77777777" w:rsidR="006B23D7" w:rsidRPr="00E51638" w:rsidRDefault="006B23D7" w:rsidP="006B23D7">
      <w:pPr>
        <w:pStyle w:val="Prrafo"/>
        <w:numPr>
          <w:ilvl w:val="0"/>
          <w:numId w:val="6"/>
        </w:numPr>
        <w:ind w:left="0" w:hanging="567"/>
      </w:pPr>
      <w:r w:rsidRPr="00E51638">
        <w:rPr>
          <w:lang w:val="es-ES"/>
        </w:rPr>
        <w:lastRenderedPageBreak/>
        <w:t xml:space="preserve">En consecuencia, se tiene por </w:t>
      </w:r>
      <w:r w:rsidRPr="00E51638">
        <w:rPr>
          <w:b/>
          <w:bCs/>
          <w:lang w:val="es-ES"/>
        </w:rPr>
        <w:t>acreditada la legitimación</w:t>
      </w:r>
      <w:r w:rsidRPr="00E51638">
        <w:rPr>
          <w:lang w:val="es-ES"/>
        </w:rPr>
        <w:t xml:space="preserve"> procesal de las personas que promueven la acción de inconstitucionalidad 62/2022 en representación del partido político nacional.</w:t>
      </w:r>
    </w:p>
    <w:p w14:paraId="75B39E6A" w14:textId="06D47311" w:rsidR="006B23D7" w:rsidRPr="00E51638" w:rsidRDefault="006B23D7" w:rsidP="006B23D7">
      <w:pPr>
        <w:pStyle w:val="Prrafo"/>
        <w:outlineLvl w:val="3"/>
        <w:rPr>
          <w:b/>
          <w:bCs/>
        </w:rPr>
      </w:pPr>
      <w:bookmarkStart w:id="36" w:name="_Toc108556662"/>
      <w:bookmarkStart w:id="37" w:name="_Toc108630499"/>
      <w:bookmarkStart w:id="38" w:name="_Toc108795864"/>
      <w:bookmarkStart w:id="39" w:name="_Toc109004118"/>
      <w:bookmarkStart w:id="40" w:name="_Toc113984436"/>
      <w:r w:rsidRPr="00E51638">
        <w:rPr>
          <w:b/>
          <w:bCs/>
        </w:rPr>
        <w:t>I</w:t>
      </w:r>
      <w:r w:rsidR="007924E1">
        <w:rPr>
          <w:b/>
          <w:bCs/>
        </w:rPr>
        <w:t>II</w:t>
      </w:r>
      <w:r w:rsidRPr="00E51638">
        <w:rPr>
          <w:b/>
          <w:bCs/>
        </w:rPr>
        <w:t>.2</w:t>
      </w:r>
      <w:r w:rsidR="004C26C6" w:rsidRPr="00E51638">
        <w:rPr>
          <w:b/>
          <w:bCs/>
        </w:rPr>
        <w:t>.</w:t>
      </w:r>
      <w:r w:rsidRPr="00E51638">
        <w:rPr>
          <w:b/>
          <w:bCs/>
        </w:rPr>
        <w:t xml:space="preserve"> Diversos integrantes de la Sexagésima Quinta Legislatura de la Cámara de Senadores del Congreso de la Unión</w:t>
      </w:r>
      <w:bookmarkEnd w:id="36"/>
      <w:bookmarkEnd w:id="37"/>
      <w:bookmarkEnd w:id="38"/>
      <w:bookmarkEnd w:id="39"/>
      <w:bookmarkEnd w:id="40"/>
      <w:r w:rsidRPr="00E51638">
        <w:rPr>
          <w:b/>
          <w:bCs/>
        </w:rPr>
        <w:t xml:space="preserve"> </w:t>
      </w:r>
    </w:p>
    <w:p w14:paraId="06D149B0" w14:textId="79E61A4E" w:rsidR="006B23D7" w:rsidRPr="00E51638" w:rsidRDefault="006B23D7" w:rsidP="006B23D7">
      <w:pPr>
        <w:pStyle w:val="Prrafo"/>
        <w:numPr>
          <w:ilvl w:val="0"/>
          <w:numId w:val="6"/>
        </w:numPr>
        <w:ind w:left="0" w:hanging="567"/>
      </w:pPr>
      <w:r w:rsidRPr="00E51638">
        <w:t>De conformidad con los artículos 105, fracción II, inciso b), de la Constitución General y 62, párrafo primero, de la Ley Reglamentaria de la Materia</w:t>
      </w:r>
      <w:r w:rsidR="004C26C6" w:rsidRPr="00E51638">
        <w:rPr>
          <w:rStyle w:val="Refdenotaalpie"/>
        </w:rPr>
        <w:footnoteReference w:id="9"/>
      </w:r>
      <w:r w:rsidRPr="00E51638">
        <w:t>, la acción de inconstitucionalidad podrá promoverse por el equivalente al treinta y tres por ciento de los integrantes del Senado, en contra de las leyes federales o de tratados internacionales celebrados por el Estado Mexicano.</w:t>
      </w:r>
    </w:p>
    <w:p w14:paraId="26049E1C" w14:textId="5DFF0433" w:rsidR="006B23D7" w:rsidRPr="00E51638" w:rsidRDefault="006B23D7" w:rsidP="006B23D7">
      <w:pPr>
        <w:pStyle w:val="Prrafo"/>
        <w:numPr>
          <w:ilvl w:val="0"/>
          <w:numId w:val="6"/>
        </w:numPr>
        <w:ind w:left="0" w:hanging="567"/>
      </w:pPr>
      <w:r w:rsidRPr="00E51638">
        <w:t xml:space="preserve">Por tanto, en el caso, debe verificarse que: </w:t>
      </w:r>
      <w:r w:rsidR="004C26C6" w:rsidRPr="00E51638">
        <w:rPr>
          <w:b/>
          <w:bCs/>
        </w:rPr>
        <w:t>a)</w:t>
      </w:r>
      <w:r w:rsidRPr="00E51638">
        <w:t xml:space="preserve"> Los promoventes sean senadores integrantes del Congreso de la Unión; </w:t>
      </w:r>
      <w:r w:rsidR="004C26C6" w:rsidRPr="00E51638">
        <w:rPr>
          <w:b/>
          <w:bCs/>
        </w:rPr>
        <w:t>b)</w:t>
      </w:r>
      <w:r w:rsidRPr="00E51638">
        <w:t xml:space="preserve"> que representen, cuando menos, el equivalente al treinta y tres por ciento de los integrantes de dicha Cámara; y</w:t>
      </w:r>
      <w:r w:rsidR="00FE387D">
        <w:t>,</w:t>
      </w:r>
      <w:r w:rsidRPr="00E51638">
        <w:t xml:space="preserve"> </w:t>
      </w:r>
      <w:r w:rsidR="004C26C6" w:rsidRPr="00E51638">
        <w:rPr>
          <w:b/>
          <w:bCs/>
        </w:rPr>
        <w:t>c)</w:t>
      </w:r>
      <w:r w:rsidRPr="00E51638">
        <w:t xml:space="preserve"> que la acción se plantee en contra de una ley expedida por el propio órgano.</w:t>
      </w:r>
    </w:p>
    <w:p w14:paraId="1A32625B" w14:textId="3319264A" w:rsidR="006B23D7" w:rsidRPr="00E51638" w:rsidRDefault="006B23D7" w:rsidP="006B23D7">
      <w:pPr>
        <w:pStyle w:val="Prrafo"/>
        <w:numPr>
          <w:ilvl w:val="0"/>
          <w:numId w:val="6"/>
        </w:numPr>
        <w:ind w:left="0" w:hanging="567"/>
      </w:pPr>
      <w:r w:rsidRPr="00E51638">
        <w:t xml:space="preserve">Suscriben la demanda: </w:t>
      </w:r>
      <w:r w:rsidRPr="00E51638">
        <w:rPr>
          <w:b/>
          <w:bCs/>
        </w:rPr>
        <w:t>1.</w:t>
      </w:r>
      <w:r w:rsidRPr="00E51638">
        <w:t xml:space="preserve"> Julen Rementería Del Puerto, </w:t>
      </w:r>
      <w:r w:rsidRPr="00E51638">
        <w:rPr>
          <w:b/>
          <w:bCs/>
        </w:rPr>
        <w:t>2.</w:t>
      </w:r>
      <w:r w:rsidRPr="00E51638">
        <w:t xml:space="preserve"> Alejandra Noemí Reynoso Sánchez, </w:t>
      </w:r>
      <w:r w:rsidRPr="00E51638">
        <w:rPr>
          <w:b/>
          <w:bCs/>
        </w:rPr>
        <w:t>3.</w:t>
      </w:r>
      <w:r w:rsidRPr="00E51638">
        <w:t xml:space="preserve"> Indira de Jesús Rosales San Román, </w:t>
      </w:r>
      <w:r w:rsidRPr="00E51638">
        <w:rPr>
          <w:b/>
          <w:bCs/>
        </w:rPr>
        <w:t>4.</w:t>
      </w:r>
      <w:r w:rsidRPr="00E51638">
        <w:t xml:space="preserve"> María Guadalupe Saldaña Cisneros, </w:t>
      </w:r>
      <w:r w:rsidRPr="00E51638">
        <w:rPr>
          <w:b/>
          <w:bCs/>
        </w:rPr>
        <w:t>5.</w:t>
      </w:r>
      <w:r w:rsidRPr="00E51638">
        <w:t xml:space="preserve"> Roberto Juan Moya Clemente, </w:t>
      </w:r>
      <w:r w:rsidRPr="00E51638">
        <w:rPr>
          <w:b/>
          <w:bCs/>
        </w:rPr>
        <w:t>6.</w:t>
      </w:r>
      <w:r w:rsidRPr="00E51638">
        <w:t xml:space="preserve"> Nadia Navarro Acevedo, </w:t>
      </w:r>
      <w:r w:rsidRPr="00E51638">
        <w:rPr>
          <w:b/>
          <w:bCs/>
        </w:rPr>
        <w:t>7.</w:t>
      </w:r>
      <w:r w:rsidRPr="00E51638">
        <w:t xml:space="preserve"> Gloria Elizabeth Núñez Sánchez, </w:t>
      </w:r>
      <w:r w:rsidRPr="00E51638">
        <w:rPr>
          <w:b/>
          <w:bCs/>
        </w:rPr>
        <w:t>8.</w:t>
      </w:r>
      <w:r w:rsidRPr="00E51638">
        <w:t xml:space="preserve"> Minerva Hernández Ramos, </w:t>
      </w:r>
      <w:r w:rsidRPr="00E51638">
        <w:rPr>
          <w:b/>
          <w:bCs/>
        </w:rPr>
        <w:t xml:space="preserve">9. </w:t>
      </w:r>
      <w:r w:rsidRPr="00E51638">
        <w:t xml:space="preserve">Juan Francisco Larios Esparza, </w:t>
      </w:r>
      <w:r w:rsidRPr="00E51638">
        <w:rPr>
          <w:b/>
          <w:bCs/>
        </w:rPr>
        <w:t>10.</w:t>
      </w:r>
      <w:r w:rsidRPr="00E51638">
        <w:t xml:space="preserve"> Kenia López Rabadán, </w:t>
      </w:r>
      <w:r w:rsidRPr="00E51638">
        <w:rPr>
          <w:b/>
          <w:bCs/>
        </w:rPr>
        <w:t>11.</w:t>
      </w:r>
      <w:r w:rsidRPr="00E51638">
        <w:t xml:space="preserve"> Mayuli Latifa Martínez Simón, </w:t>
      </w:r>
      <w:r w:rsidRPr="00E51638">
        <w:rPr>
          <w:b/>
          <w:bCs/>
        </w:rPr>
        <w:t xml:space="preserve">12. </w:t>
      </w:r>
      <w:r w:rsidRPr="00E51638">
        <w:t xml:space="preserve">María Lilly del Carmen Téllez García, </w:t>
      </w:r>
      <w:r w:rsidRPr="00E51638">
        <w:rPr>
          <w:b/>
          <w:bCs/>
        </w:rPr>
        <w:t>13.</w:t>
      </w:r>
      <w:r w:rsidRPr="00E51638">
        <w:t xml:space="preserve"> Josefina Eugenia Vázquez Mota, </w:t>
      </w:r>
      <w:r w:rsidRPr="00E51638">
        <w:rPr>
          <w:b/>
          <w:bCs/>
        </w:rPr>
        <w:t>14.</w:t>
      </w:r>
      <w:r w:rsidRPr="00E51638">
        <w:t xml:space="preserve"> Damián Zepeda Vidales, </w:t>
      </w:r>
      <w:r w:rsidRPr="00E51638">
        <w:rPr>
          <w:b/>
          <w:bCs/>
        </w:rPr>
        <w:t>15.</w:t>
      </w:r>
      <w:r w:rsidRPr="00E51638">
        <w:t xml:space="preserve"> Juan Manuel Zepeda Hernández, </w:t>
      </w:r>
      <w:r w:rsidRPr="00E51638">
        <w:rPr>
          <w:b/>
          <w:bCs/>
        </w:rPr>
        <w:t>16.</w:t>
      </w:r>
      <w:r w:rsidRPr="00E51638">
        <w:t xml:space="preserve"> Noé Fernando Castañón Ramírez, </w:t>
      </w:r>
      <w:r w:rsidRPr="00E51638">
        <w:rPr>
          <w:b/>
          <w:bCs/>
        </w:rPr>
        <w:t>17.</w:t>
      </w:r>
      <w:r w:rsidRPr="00E51638">
        <w:t xml:space="preserve"> Miguel Ángel Mancera Espinosa, </w:t>
      </w:r>
      <w:r w:rsidRPr="00E51638">
        <w:rPr>
          <w:b/>
          <w:bCs/>
        </w:rPr>
        <w:t>18.</w:t>
      </w:r>
      <w:r w:rsidRPr="00E51638">
        <w:t xml:space="preserve"> Juan Manuel Fócil Pérez, </w:t>
      </w:r>
      <w:r w:rsidRPr="00E51638">
        <w:rPr>
          <w:b/>
          <w:bCs/>
        </w:rPr>
        <w:t>19.</w:t>
      </w:r>
      <w:r w:rsidRPr="00E51638">
        <w:t xml:space="preserve"> Antonio García Conejo, </w:t>
      </w:r>
      <w:r w:rsidRPr="00E51638">
        <w:rPr>
          <w:b/>
          <w:bCs/>
        </w:rPr>
        <w:t>20.</w:t>
      </w:r>
      <w:r w:rsidRPr="00E51638">
        <w:t xml:space="preserve"> Germán Martínez Cázares, </w:t>
      </w:r>
      <w:r w:rsidRPr="00E51638">
        <w:rPr>
          <w:b/>
          <w:bCs/>
        </w:rPr>
        <w:t>21.</w:t>
      </w:r>
      <w:r w:rsidRPr="00E51638">
        <w:t xml:space="preserve"> Nancy de la Sierra Arámburo, </w:t>
      </w:r>
      <w:r w:rsidRPr="00E51638">
        <w:rPr>
          <w:b/>
          <w:bCs/>
        </w:rPr>
        <w:t>22.</w:t>
      </w:r>
      <w:r w:rsidRPr="00E51638">
        <w:t xml:space="preserve"> Gustavo Enrique Madero Muñoz, </w:t>
      </w:r>
      <w:r w:rsidRPr="00E51638">
        <w:rPr>
          <w:b/>
          <w:bCs/>
        </w:rPr>
        <w:t>23.</w:t>
      </w:r>
      <w:r w:rsidRPr="00E51638">
        <w:t xml:space="preserve"> Alejandra del Carmen León Gastélum, </w:t>
      </w:r>
      <w:r w:rsidRPr="00E51638">
        <w:rPr>
          <w:b/>
          <w:bCs/>
        </w:rPr>
        <w:t>24.</w:t>
      </w:r>
      <w:r w:rsidRPr="00E51638">
        <w:t xml:space="preserve"> Emilio Álvarez Icaza Longoria, </w:t>
      </w:r>
      <w:r w:rsidRPr="00E51638">
        <w:rPr>
          <w:b/>
          <w:bCs/>
        </w:rPr>
        <w:t>25.</w:t>
      </w:r>
      <w:r w:rsidRPr="00E51638">
        <w:t xml:space="preserve"> Adriana Guadalupe Jurado Valadez, </w:t>
      </w:r>
      <w:r w:rsidRPr="00E51638">
        <w:rPr>
          <w:b/>
          <w:bCs/>
        </w:rPr>
        <w:t>26.</w:t>
      </w:r>
      <w:r w:rsidRPr="00E51638">
        <w:t xml:space="preserve"> Carlos Humberto Aceves del Olmo, </w:t>
      </w:r>
      <w:r w:rsidRPr="00E51638">
        <w:rPr>
          <w:b/>
          <w:bCs/>
        </w:rPr>
        <w:t>27.</w:t>
      </w:r>
      <w:r w:rsidRPr="00E51638">
        <w:t xml:space="preserve"> </w:t>
      </w:r>
      <w:r w:rsidRPr="00E51638">
        <w:lastRenderedPageBreak/>
        <w:t xml:space="preserve">Ángel García Yáñez, </w:t>
      </w:r>
      <w:r w:rsidRPr="00E51638">
        <w:rPr>
          <w:b/>
          <w:bCs/>
        </w:rPr>
        <w:t>28.</w:t>
      </w:r>
      <w:r w:rsidRPr="00E51638">
        <w:t xml:space="preserve"> Manuel Añorve Baños, </w:t>
      </w:r>
      <w:r w:rsidRPr="00E51638">
        <w:rPr>
          <w:b/>
          <w:bCs/>
        </w:rPr>
        <w:t>29.</w:t>
      </w:r>
      <w:r w:rsidRPr="00E51638">
        <w:t xml:space="preserve"> Claudia Edith Anaya Mota, </w:t>
      </w:r>
      <w:r w:rsidRPr="00E51638">
        <w:rPr>
          <w:b/>
          <w:bCs/>
        </w:rPr>
        <w:t>30.</w:t>
      </w:r>
      <w:r w:rsidRPr="00E51638">
        <w:t xml:space="preserve"> Beatriz Elena Paredes Rangel, </w:t>
      </w:r>
      <w:r w:rsidRPr="00E51638">
        <w:rPr>
          <w:b/>
          <w:bCs/>
        </w:rPr>
        <w:t>31.</w:t>
      </w:r>
      <w:r w:rsidRPr="00E51638">
        <w:t xml:space="preserve"> Miguel Ángel Osorio Chong, </w:t>
      </w:r>
      <w:r w:rsidRPr="00E51638">
        <w:rPr>
          <w:b/>
          <w:bCs/>
        </w:rPr>
        <w:t>32.</w:t>
      </w:r>
      <w:r w:rsidRPr="00E51638">
        <w:t xml:space="preserve"> Mario Zamora Gastelúm, </w:t>
      </w:r>
      <w:r w:rsidRPr="00E51638">
        <w:rPr>
          <w:b/>
          <w:bCs/>
        </w:rPr>
        <w:t>33.</w:t>
      </w:r>
      <w:r w:rsidRPr="00E51638">
        <w:t xml:space="preserve"> Verónica Martínez García, </w:t>
      </w:r>
      <w:r w:rsidRPr="00E51638">
        <w:rPr>
          <w:b/>
          <w:bCs/>
        </w:rPr>
        <w:t>34.</w:t>
      </w:r>
      <w:r w:rsidRPr="00E51638">
        <w:t xml:space="preserve"> Nuvia Magdalena Mayorga Delgado, </w:t>
      </w:r>
      <w:r w:rsidRPr="00E51638">
        <w:rPr>
          <w:b/>
          <w:bCs/>
        </w:rPr>
        <w:t>35</w:t>
      </w:r>
      <w:r w:rsidR="00AC4BD7">
        <w:rPr>
          <w:b/>
          <w:bCs/>
        </w:rPr>
        <w:t>.</w:t>
      </w:r>
      <w:r w:rsidRPr="00E51638">
        <w:t xml:space="preserve"> Sylvana Beltrones Sánchez, </w:t>
      </w:r>
      <w:r w:rsidRPr="00E51638">
        <w:rPr>
          <w:b/>
          <w:bCs/>
        </w:rPr>
        <w:t>36.</w:t>
      </w:r>
      <w:r w:rsidRPr="00E51638">
        <w:t xml:space="preserve"> Eruviel Ávila Villegas, </w:t>
      </w:r>
      <w:r w:rsidRPr="00E51638">
        <w:rPr>
          <w:b/>
          <w:bCs/>
        </w:rPr>
        <w:t>37.</w:t>
      </w:r>
      <w:r w:rsidRPr="00E51638">
        <w:t xml:space="preserve"> Jorge Carlos Ramírez Marín, </w:t>
      </w:r>
      <w:r w:rsidRPr="00E51638">
        <w:rPr>
          <w:b/>
          <w:bCs/>
        </w:rPr>
        <w:t>38.</w:t>
      </w:r>
      <w:r w:rsidRPr="00E51638">
        <w:t xml:space="preserve"> Claudia Ruíz Massieu Salinas, </w:t>
      </w:r>
      <w:r w:rsidRPr="00E51638">
        <w:rPr>
          <w:b/>
          <w:bCs/>
        </w:rPr>
        <w:t>39.</w:t>
      </w:r>
      <w:r w:rsidRPr="00E51638">
        <w:t xml:space="preserve"> José Alfredo Botello Montes, </w:t>
      </w:r>
      <w:r w:rsidRPr="00E51638">
        <w:rPr>
          <w:b/>
          <w:bCs/>
        </w:rPr>
        <w:t>40.</w:t>
      </w:r>
      <w:r w:rsidRPr="00E51638">
        <w:t xml:space="preserve"> Gina Andrea Cruz Blackledge, </w:t>
      </w:r>
      <w:r w:rsidRPr="00E51638">
        <w:rPr>
          <w:b/>
          <w:bCs/>
        </w:rPr>
        <w:t>41.</w:t>
      </w:r>
      <w:r w:rsidRPr="00E51638">
        <w:t xml:space="preserve"> Bertha Xóchitl Gálvez Ruiz, </w:t>
      </w:r>
      <w:r w:rsidRPr="00E51638">
        <w:rPr>
          <w:b/>
          <w:bCs/>
        </w:rPr>
        <w:t>42.</w:t>
      </w:r>
      <w:r w:rsidRPr="00E51638">
        <w:t xml:space="preserve"> Ismael García Cabeza de Vaca, </w:t>
      </w:r>
      <w:r w:rsidRPr="00E51638">
        <w:rPr>
          <w:b/>
          <w:bCs/>
        </w:rPr>
        <w:t>43.</w:t>
      </w:r>
      <w:r w:rsidRPr="00E51638">
        <w:t xml:space="preserve"> José Erandi Bermúdez Méndez, </w:t>
      </w:r>
      <w:r w:rsidRPr="00E51638">
        <w:rPr>
          <w:b/>
          <w:bCs/>
        </w:rPr>
        <w:t>44.</w:t>
      </w:r>
      <w:r w:rsidRPr="00E51638">
        <w:t xml:space="preserve"> Víctor Oswaldo Fuentes Solís y </w:t>
      </w:r>
      <w:r w:rsidRPr="00E51638">
        <w:rPr>
          <w:b/>
          <w:bCs/>
        </w:rPr>
        <w:t>45.</w:t>
      </w:r>
      <w:r w:rsidRPr="00E51638">
        <w:t xml:space="preserve"> Estrella Rojas Loreto.</w:t>
      </w:r>
    </w:p>
    <w:p w14:paraId="19F3E9CB" w14:textId="77777777" w:rsidR="006B23D7" w:rsidRPr="00E51638" w:rsidRDefault="006B23D7" w:rsidP="006B23D7">
      <w:pPr>
        <w:pStyle w:val="Prrafo"/>
        <w:numPr>
          <w:ilvl w:val="0"/>
          <w:numId w:val="6"/>
        </w:numPr>
        <w:ind w:left="0" w:hanging="567"/>
      </w:pPr>
      <w:r w:rsidRPr="00E51638">
        <w:t xml:space="preserve">Acreditan su carácter de </w:t>
      </w:r>
      <w:r w:rsidRPr="00E51638">
        <w:rPr>
          <w:lang w:val="es-ES"/>
        </w:rPr>
        <w:t>integrantes de la Sexagésima Quinta Legislatura de la Cámara de Senadores del Congreso de la Unión con copia certificada de diversas constancias de mayoría y validez, así como de asignación a la fórmula de primera minoría, de la elección para las senadurías al Congreso de la Unión expedidas por el Instituto Nacional Electoral; asimismo, con copia certificada del acuerdo INE/CG1180/2018, aprobado en sesión ordinaria celebrada el veintitrés de agosto de dos mil dieciocho, por el Consejo General del referido organismo electoral por el que se efectúa el cómputo total, se declara la validez de la elección de senadores por el principio de representación proporcional y se asignan a los partidos político nacionales Acción Nacional, Revolucionario Institucional, de la Revolución Democrática, del Trabajo, Verde Ecologista de México, Movimiento Ciudadano y Morena, las senadurías que les corresponden para el periodo 2018-2024.</w:t>
      </w:r>
    </w:p>
    <w:p w14:paraId="3D5CD515" w14:textId="3A9BBAD2" w:rsidR="006B23D7" w:rsidRPr="00E51638" w:rsidRDefault="006B23D7" w:rsidP="006B23D7">
      <w:pPr>
        <w:pStyle w:val="Prrafo"/>
        <w:numPr>
          <w:ilvl w:val="0"/>
          <w:numId w:val="6"/>
        </w:numPr>
        <w:ind w:left="0" w:hanging="567"/>
      </w:pPr>
      <w:r w:rsidRPr="00E51638">
        <w:t>Por otra parte, del artículo 56 de la Constitución General</w:t>
      </w:r>
      <w:r w:rsidR="004C26C6" w:rsidRPr="00E51638">
        <w:rPr>
          <w:rStyle w:val="Refdenotaalpie"/>
        </w:rPr>
        <w:footnoteReference w:id="10"/>
      </w:r>
      <w:r w:rsidRPr="00E51638">
        <w:t xml:space="preserve">, se advierte que la Cámara de Senadores se integra por ciento veintiocho legisladores; en </w:t>
      </w:r>
      <w:r w:rsidRPr="00E51638">
        <w:lastRenderedPageBreak/>
        <w:t>consecuencia, dado que suscribieron el escrito de acción de inconstitucionalidad el equivalente al treinta y cinco por ciento de la aludida Cámara</w:t>
      </w:r>
      <w:r w:rsidRPr="00E51638">
        <w:rPr>
          <w:bCs/>
        </w:rPr>
        <w:t xml:space="preserve"> </w:t>
      </w:r>
      <w:r w:rsidRPr="00E51638">
        <w:t>se acredita la exigencia de contar con, al menos, el treinta y tres por ciento de sus integrantes.</w:t>
      </w:r>
    </w:p>
    <w:p w14:paraId="13F11F99" w14:textId="131C1508" w:rsidR="006B23D7" w:rsidRPr="00E51638" w:rsidRDefault="006B23D7" w:rsidP="006B23D7">
      <w:pPr>
        <w:pStyle w:val="Prrafo"/>
        <w:numPr>
          <w:ilvl w:val="0"/>
          <w:numId w:val="6"/>
        </w:numPr>
        <w:ind w:left="0" w:hanging="567"/>
      </w:pPr>
      <w:r w:rsidRPr="00E51638">
        <w:rPr>
          <w:bCs/>
        </w:rPr>
        <w:t>Por último, debe señalarse que</w:t>
      </w:r>
      <w:r w:rsidR="004C26C6" w:rsidRPr="00E51638">
        <w:rPr>
          <w:bCs/>
        </w:rPr>
        <w:t xml:space="preserve"> en este caso </w:t>
      </w:r>
      <w:r w:rsidRPr="00E51638">
        <w:rPr>
          <w:bCs/>
        </w:rPr>
        <w:t xml:space="preserve">se impugna </w:t>
      </w:r>
      <w:r w:rsidR="004C26C6" w:rsidRPr="00E51638">
        <w:rPr>
          <w:bCs/>
        </w:rPr>
        <w:t>la adición del</w:t>
      </w:r>
      <w:r w:rsidRPr="00E51638">
        <w:t xml:space="preserve"> inciso h) al numeral 1 del artículo 10 de la Ley General del Sistemas de Medios de Impugnación en Materia Electoral, expedido </w:t>
      </w:r>
      <w:r w:rsidR="004C26C6" w:rsidRPr="00E51638">
        <w:t>mediante decreto d</w:t>
      </w:r>
      <w:r w:rsidRPr="00E51638">
        <w:t xml:space="preserve">el Congreso de la Unión, al que pertenecen los promoventes, por lo que </w:t>
      </w:r>
      <w:r w:rsidRPr="00E51638">
        <w:rPr>
          <w:b/>
          <w:bCs/>
        </w:rPr>
        <w:t>cuentan con legitimación</w:t>
      </w:r>
      <w:r w:rsidRPr="00E51638">
        <w:t xml:space="preserve"> para instar </w:t>
      </w:r>
      <w:r w:rsidR="002C6B12" w:rsidRPr="00E51638">
        <w:t>este</w:t>
      </w:r>
      <w:r w:rsidRPr="00E51638">
        <w:t xml:space="preserve"> medio de control constitucional, al verificarse todos los requisitos necesarios para accionar por parte de una minoría parlamentaria.</w:t>
      </w:r>
    </w:p>
    <w:p w14:paraId="45F92798" w14:textId="071175DF" w:rsidR="006B23D7" w:rsidRPr="00E51638" w:rsidRDefault="00AC4BD7" w:rsidP="004C789E">
      <w:pPr>
        <w:pStyle w:val="Ttulo3"/>
        <w:numPr>
          <w:ilvl w:val="0"/>
          <w:numId w:val="7"/>
        </w:numPr>
        <w:spacing w:after="0"/>
        <w:ind w:left="0" w:firstLine="0"/>
      </w:pPr>
      <w:bookmarkStart w:id="41" w:name="_Toc108556663"/>
      <w:bookmarkStart w:id="42" w:name="_Toc108630500"/>
      <w:bookmarkStart w:id="43" w:name="_Toc108795865"/>
      <w:bookmarkStart w:id="44" w:name="_Toc109004119"/>
      <w:bookmarkStart w:id="45" w:name="_Toc113984437"/>
      <w:bookmarkEnd w:id="30"/>
      <w:r>
        <w:t xml:space="preserve"> </w:t>
      </w:r>
      <w:r w:rsidR="006B23D7" w:rsidRPr="00E51638">
        <w:t>CAUSAS DE IMPROCEDENCIA Y SOBRESEIMIENTO</w:t>
      </w:r>
      <w:bookmarkEnd w:id="41"/>
      <w:bookmarkEnd w:id="42"/>
      <w:bookmarkEnd w:id="43"/>
      <w:bookmarkEnd w:id="44"/>
      <w:bookmarkEnd w:id="45"/>
      <w:r>
        <w:t>.</w:t>
      </w:r>
    </w:p>
    <w:p w14:paraId="554958D5" w14:textId="77777777" w:rsidR="006B23D7" w:rsidRPr="00E51638" w:rsidRDefault="006B23D7" w:rsidP="006B23D7">
      <w:pPr>
        <w:pStyle w:val="Prrafo"/>
        <w:numPr>
          <w:ilvl w:val="0"/>
          <w:numId w:val="6"/>
        </w:numPr>
        <w:ind w:left="0" w:hanging="567"/>
        <w:rPr>
          <w:bCs/>
        </w:rPr>
      </w:pPr>
      <w:r w:rsidRPr="00E51638">
        <w:rPr>
          <w:bCs/>
        </w:rPr>
        <w:t>En virtud de que las cuestiones relativas a la procedencia de la acción de inconstitucionalidad son de estudio preferente, al ser de orden público, se analiza la causal de improcedencia planteada por la Cámara de Diputados del Congreso de la Unión.</w:t>
      </w:r>
    </w:p>
    <w:p w14:paraId="286419B2" w14:textId="17F22B05" w:rsidR="006B23D7" w:rsidRPr="00E51638" w:rsidRDefault="006B23D7" w:rsidP="006B23D7">
      <w:pPr>
        <w:pStyle w:val="Prrafo"/>
        <w:numPr>
          <w:ilvl w:val="0"/>
          <w:numId w:val="6"/>
        </w:numPr>
        <w:ind w:left="0" w:hanging="567"/>
        <w:rPr>
          <w:bCs/>
        </w:rPr>
      </w:pPr>
      <w:r w:rsidRPr="00E51638">
        <w:rPr>
          <w:lang w:val="es-ES"/>
        </w:rPr>
        <w:t xml:space="preserve">En el informe rendido con motivo de la acción de inconstitucionalidad 62/2022, la citada autoridad legislativa sostiene que, de </w:t>
      </w:r>
      <w:r w:rsidRPr="00E51638">
        <w:t>conformidad con los artículos 19, fracción IX</w:t>
      </w:r>
      <w:r w:rsidRPr="00E51638">
        <w:rPr>
          <w:rStyle w:val="Refdenotaalpie"/>
        </w:rPr>
        <w:footnoteReference w:id="11"/>
      </w:r>
      <w:r w:rsidRPr="00E51638">
        <w:t>, y 62, último párrafo</w:t>
      </w:r>
      <w:r w:rsidRPr="00E51638">
        <w:rPr>
          <w:rStyle w:val="Refdenotaalpie"/>
        </w:rPr>
        <w:footnoteReference w:id="12"/>
      </w:r>
      <w:r w:rsidRPr="00E51638">
        <w:t xml:space="preserve">, de la Ley Reglamentaria, en relación con el </w:t>
      </w:r>
      <w:r w:rsidR="00B01D89">
        <w:t>diverso</w:t>
      </w:r>
      <w:r w:rsidRPr="00E51638">
        <w:t xml:space="preserve"> 105, fracción II, inciso f), de la Constitución Genera</w:t>
      </w:r>
      <w:r w:rsidR="00596278" w:rsidRPr="00E51638">
        <w:t>l</w:t>
      </w:r>
      <w:r w:rsidR="00596278" w:rsidRPr="00E51638">
        <w:rPr>
          <w:rStyle w:val="Refdenotaalpie"/>
        </w:rPr>
        <w:footnoteReference w:id="13"/>
      </w:r>
      <w:r w:rsidRPr="00E51638">
        <w:t xml:space="preserve">, la acción de </w:t>
      </w:r>
      <w:r w:rsidRPr="00E51638">
        <w:lastRenderedPageBreak/>
        <w:t xml:space="preserve">inconstitucional promovida por el partido político Movimiento Ciudadano resulta improcedente, porque </w:t>
      </w:r>
      <w:r w:rsidRPr="00E51638">
        <w:rPr>
          <w:b/>
          <w:bCs/>
        </w:rPr>
        <w:t>el decreto impugnado no reviste naturaleza electoral</w:t>
      </w:r>
      <w:r w:rsidRPr="00E51638">
        <w:t>, al no regular el régimen normativo de los procesos electorales ni aspectos vinculados directa o indirectamente con dichos procesos o que deban influir en ellos de una manera o de otra.</w:t>
      </w:r>
    </w:p>
    <w:p w14:paraId="1B7091A5" w14:textId="1B890D1E" w:rsidR="006B23D7" w:rsidRPr="00E51638" w:rsidRDefault="006B23D7" w:rsidP="006B23D7">
      <w:pPr>
        <w:pStyle w:val="Prrafo"/>
        <w:numPr>
          <w:ilvl w:val="0"/>
          <w:numId w:val="6"/>
        </w:numPr>
        <w:ind w:left="0" w:hanging="567"/>
        <w:rPr>
          <w:bCs/>
        </w:rPr>
      </w:pPr>
      <w:r w:rsidRPr="00E51638">
        <w:rPr>
          <w:lang w:val="es-ES"/>
        </w:rPr>
        <w:t xml:space="preserve">Debe </w:t>
      </w:r>
      <w:r w:rsidRPr="00E51638">
        <w:rPr>
          <w:b/>
          <w:bCs/>
          <w:lang w:val="es-ES"/>
        </w:rPr>
        <w:t>desestimarse</w:t>
      </w:r>
      <w:r w:rsidRPr="00E51638">
        <w:rPr>
          <w:lang w:val="es-ES"/>
        </w:rPr>
        <w:t xml:space="preserve"> la causal de improcedencia hecha valer. </w:t>
      </w:r>
      <w:r w:rsidR="002D1E61" w:rsidRPr="00E51638">
        <w:rPr>
          <w:lang w:val="es-ES"/>
        </w:rPr>
        <w:t>En</w:t>
      </w:r>
      <w:r w:rsidRPr="00E51638">
        <w:rPr>
          <w:lang w:val="es-ES"/>
        </w:rPr>
        <w:t xml:space="preserve"> principio de cuentas, debe partirse desde la óptica de que tratándose de acciones de inconstitucionalidad rige una definición amplia sobre lo que debe entenderse por una norma general de naturaleza electoral</w:t>
      </w:r>
      <w:r w:rsidRPr="00E51638">
        <w:rPr>
          <w:rStyle w:val="Refdenotaalpie"/>
          <w:lang w:val="es-ES"/>
        </w:rPr>
        <w:footnoteReference w:id="14"/>
      </w:r>
      <w:r w:rsidRPr="00E51638">
        <w:rPr>
          <w:lang w:val="es-ES"/>
        </w:rPr>
        <w:t>, lo que descarta aplicar criterios estrictos propios de otras sedes procesales distintas, tales como el juicio de amparo.</w:t>
      </w:r>
    </w:p>
    <w:p w14:paraId="47E4E42F" w14:textId="6439FC7B" w:rsidR="006B23D7" w:rsidRPr="00E51638" w:rsidRDefault="006B23D7" w:rsidP="006B23D7">
      <w:pPr>
        <w:pStyle w:val="Prrafo"/>
        <w:numPr>
          <w:ilvl w:val="0"/>
          <w:numId w:val="6"/>
        </w:numPr>
        <w:ind w:left="0" w:hanging="567"/>
        <w:rPr>
          <w:bCs/>
        </w:rPr>
      </w:pPr>
      <w:r w:rsidRPr="00E51638">
        <w:t>Lo anterior es así, pues de conformidad con el artículo 105, fracción II, de la Constitución General, la única vía para plantear</w:t>
      </w:r>
      <w:r w:rsidR="002D1E61" w:rsidRPr="00E51638">
        <w:t xml:space="preserve"> en abstracto</w:t>
      </w:r>
      <w:r w:rsidRPr="00E51638">
        <w:t xml:space="preserve"> la no conformidad de las leyes electorales a la Constitución es la acción de inconstitucionalidad, de manera que debe favorecerse la procedencia de este mecanismo de control constitucional, dado que ningún otro órgano jurisdiccional tiene competencia para ejercer control abstracto de normas generales que en la materia ejerce este Alto Tribunal.</w:t>
      </w:r>
    </w:p>
    <w:p w14:paraId="16410287" w14:textId="50D300CD" w:rsidR="006B23D7" w:rsidRPr="00E51638" w:rsidRDefault="006B23D7" w:rsidP="006B23D7">
      <w:pPr>
        <w:pStyle w:val="Prrafo"/>
        <w:numPr>
          <w:ilvl w:val="0"/>
          <w:numId w:val="6"/>
        </w:numPr>
        <w:ind w:left="0" w:hanging="567"/>
        <w:rPr>
          <w:bCs/>
        </w:rPr>
      </w:pPr>
      <w:r w:rsidRPr="00E51638">
        <w:rPr>
          <w:lang w:val="es-ES"/>
        </w:rPr>
        <w:t>Bajo esta perspectiva, contrario a lo que sostiene la autoridad legislativa, la adición del</w:t>
      </w:r>
      <w:r w:rsidRPr="00E51638">
        <w:t xml:space="preserve"> inciso h) al numeral 1 del artículo 10 de la Ley General del Sistemas de Medios de Impugnación en Materia Electoral, publicado en el Diario Oficial de la Federación el diecinueve de abril de dos mil veintidós, </w:t>
      </w:r>
      <w:r w:rsidRPr="00E51638">
        <w:rPr>
          <w:b/>
          <w:bCs/>
        </w:rPr>
        <w:t>sí representa una norma en materia electoral para efectos de la procedencia de la acción de inconstitucionalidad</w:t>
      </w:r>
      <w:r w:rsidRPr="00E51638">
        <w:t xml:space="preserve">, pues prevé una regla sobre la procedencia para acceder </w:t>
      </w:r>
      <w:r w:rsidRPr="00E51638">
        <w:lastRenderedPageBreak/>
        <w:t xml:space="preserve">al sistema de medios de impugnación </w:t>
      </w:r>
      <w:r w:rsidR="00596278" w:rsidRPr="00E51638">
        <w:t xml:space="preserve">en materia </w:t>
      </w:r>
      <w:r w:rsidRPr="00E51638">
        <w:t>electoral previsto en los artículos 44 y 99 constitucionales, sistema que da definitividad a las distintas etapas de los procesos electorales, de consulta popular y de revocación de mandato, y garantiza la protección de los derechos políticos de los ciudadanos de votar, ser votados y de asociación.</w:t>
      </w:r>
    </w:p>
    <w:p w14:paraId="2EA8A0FB" w14:textId="587BA379" w:rsidR="006B23D7" w:rsidRPr="00E51638" w:rsidRDefault="006B23D7" w:rsidP="006B23D7">
      <w:pPr>
        <w:pStyle w:val="Prrafo"/>
        <w:numPr>
          <w:ilvl w:val="0"/>
          <w:numId w:val="6"/>
        </w:numPr>
        <w:ind w:left="0" w:hanging="567"/>
        <w:rPr>
          <w:bCs/>
        </w:rPr>
      </w:pPr>
      <w:r w:rsidRPr="00E51638">
        <w:t>Acerca de las reglas procesales en medios de impugnación electoral, este Alto Tribunal ha considerado con anterioridad que</w:t>
      </w:r>
      <w:r w:rsidR="00596278" w:rsidRPr="00E51638">
        <w:t xml:space="preserve"> las</w:t>
      </w:r>
      <w:r w:rsidRPr="00E51638">
        <w:t xml:space="preserve"> normas referentes a dicho tema revisten la naturaleza electoral para efectos de la procedencia en este medio de control constitucional. Por ejemplo, al resolver la acción de inconstitucionalidad 132/2020</w:t>
      </w:r>
      <w:r w:rsidRPr="00E51638">
        <w:rPr>
          <w:rStyle w:val="Refdenotaalpie"/>
        </w:rPr>
        <w:footnoteReference w:id="15"/>
      </w:r>
      <w:r w:rsidRPr="00E51638">
        <w:t xml:space="preserve">, el Tribunal Pleno analizó la constitucionalidad del artículo 25, párrafo segundo, de </w:t>
      </w:r>
      <w:r w:rsidRPr="00E51638">
        <w:rPr>
          <w:lang w:val="es-ES"/>
        </w:rPr>
        <w:t>la Ley de Medios de Impugnación en Materia Electoral del Estado de Querétaro, publicada en el periódico oficial de dicha entidad federativa el primero de junio de dos mil veinte</w:t>
      </w:r>
      <w:r w:rsidRPr="00E51638">
        <w:rPr>
          <w:vertAlign w:val="superscript"/>
        </w:rPr>
        <w:t xml:space="preserve"> </w:t>
      </w:r>
      <w:r w:rsidRPr="00E51638">
        <w:rPr>
          <w:rStyle w:val="Refdenotaalpie"/>
        </w:rPr>
        <w:footnoteReference w:id="16"/>
      </w:r>
      <w:r w:rsidRPr="00E51638">
        <w:t xml:space="preserve"> que, entre otras cuestiones, establecía los </w:t>
      </w:r>
      <w:r w:rsidRPr="00E51638">
        <w:lastRenderedPageBreak/>
        <w:t>supuestos para tener por no interpuesto un medio de impugnación cuando la parte actora no subsane la omisión de cumplir con los requisitos de la demanda.</w:t>
      </w:r>
    </w:p>
    <w:p w14:paraId="7A66B5D3" w14:textId="418E236A" w:rsidR="006B23D7" w:rsidRPr="00E51638" w:rsidRDefault="006B23D7" w:rsidP="006B23D7">
      <w:pPr>
        <w:pStyle w:val="Prrafo"/>
        <w:numPr>
          <w:ilvl w:val="0"/>
          <w:numId w:val="6"/>
        </w:numPr>
        <w:ind w:left="0" w:hanging="567"/>
        <w:rPr>
          <w:bCs/>
        </w:rPr>
      </w:pPr>
      <w:r w:rsidRPr="00E51638">
        <w:t>De manera que la adición impugnada sí es susceptible de ser sometida a examen de constitucionalidad por un partido político, pues</w:t>
      </w:r>
      <w:r w:rsidR="00596278" w:rsidRPr="00E51638">
        <w:t xml:space="preserve"> </w:t>
      </w:r>
      <w:r w:rsidRPr="00E51638">
        <w:t>con independencia de que el ordenamiento normativo que la contiene hace referencia a la materia, lo cierto es que la norma reviste una naturaleza electoral por prever una regla de improcedencia sobre los medios de impugnación en la materia electoral.</w:t>
      </w:r>
    </w:p>
    <w:p w14:paraId="5257B605" w14:textId="157D4D4E" w:rsidR="006B23D7" w:rsidRPr="00E51638" w:rsidRDefault="006B23D7" w:rsidP="006B23D7">
      <w:pPr>
        <w:pStyle w:val="Prrafo"/>
        <w:numPr>
          <w:ilvl w:val="0"/>
          <w:numId w:val="6"/>
        </w:numPr>
        <w:ind w:left="0" w:hanging="567"/>
        <w:rPr>
          <w:bCs/>
        </w:rPr>
      </w:pPr>
      <w:r w:rsidRPr="00E51638">
        <w:rPr>
          <w:lang w:val="es-ES"/>
        </w:rPr>
        <w:t xml:space="preserve">Aunado a la razón anterior, es criterio reiterado de esta Suprema Corte </w:t>
      </w:r>
      <w:r w:rsidR="000D095E">
        <w:rPr>
          <w:lang w:val="es-ES"/>
        </w:rPr>
        <w:t xml:space="preserve">de Justicia de la Nación </w:t>
      </w:r>
      <w:r w:rsidRPr="00E51638">
        <w:rPr>
          <w:lang w:val="es-ES"/>
        </w:rPr>
        <w:t xml:space="preserve">que deben desestimarse las argumentaciones hechas valer como causales de improcedencia cuando </w:t>
      </w:r>
      <w:r w:rsidRPr="00E51638">
        <w:t xml:space="preserve">involucran cuestiones relacionadas con el fondo del </w:t>
      </w:r>
      <w:r w:rsidR="00596278" w:rsidRPr="00E51638">
        <w:t>asunto</w:t>
      </w:r>
      <w:r w:rsidRPr="00E51638">
        <w:rPr>
          <w:rStyle w:val="Refdenotaalpie"/>
        </w:rPr>
        <w:footnoteReference w:id="17"/>
      </w:r>
      <w:r w:rsidR="00D17180" w:rsidRPr="00E51638">
        <w:t xml:space="preserve">. </w:t>
      </w:r>
      <w:r w:rsidRPr="00E51638">
        <w:t xml:space="preserve">Al respecto, en su escrito de demanda, entre otros planteamientos, </w:t>
      </w:r>
      <w:r w:rsidR="00596278" w:rsidRPr="00E51638">
        <w:t>las partes accionantes</w:t>
      </w:r>
      <w:r w:rsidRPr="00E51638">
        <w:t xml:space="preserve"> argumenta</w:t>
      </w:r>
      <w:r w:rsidR="00596278" w:rsidRPr="00E51638">
        <w:t>n</w:t>
      </w:r>
      <w:r w:rsidRPr="00E51638">
        <w:t xml:space="preserve"> que </w:t>
      </w:r>
      <w:r w:rsidR="00596278" w:rsidRPr="00E51638">
        <w:rPr>
          <w:u w:val="single"/>
        </w:rPr>
        <w:t>la norma impugnada</w:t>
      </w:r>
      <w:r w:rsidRPr="00E51638">
        <w:rPr>
          <w:u w:val="single"/>
        </w:rPr>
        <w:t xml:space="preserve"> viola los derechos de votar y de ser votado, así como el de acceso y ejercicio al cargo público en condiciones de igualdad, pues restringe la posibilidad de que los actos parlamentarios emanados del Congreso de la Unión puedan ser objeto de control constitucional por parte del Tribunal Electoral del Poder Judicial de la Federación</w:t>
      </w:r>
      <w:r w:rsidRPr="00E51638">
        <w:t>.</w:t>
      </w:r>
    </w:p>
    <w:p w14:paraId="4DDDB28D" w14:textId="62CC218F" w:rsidR="00596278" w:rsidRPr="00E51638" w:rsidRDefault="00596278" w:rsidP="006B23D7">
      <w:pPr>
        <w:pStyle w:val="Prrafo"/>
        <w:numPr>
          <w:ilvl w:val="0"/>
          <w:numId w:val="6"/>
        </w:numPr>
        <w:ind w:left="0" w:hanging="567"/>
        <w:rPr>
          <w:bCs/>
        </w:rPr>
      </w:pPr>
      <w:r w:rsidRPr="00E51638">
        <w:lastRenderedPageBreak/>
        <w:t xml:space="preserve">Como se puede advertir, la pretensión básica de las partes accionantes consiste en sostener que los integrantes del Congreso de la Unión —diputados y senadores— cuentan con el derecho político-electoral de ser votados en elecciones democráticas, pero </w:t>
      </w:r>
      <w:r w:rsidR="00AC33AC" w:rsidRPr="00E51638">
        <w:t>además señalan, que ese derecho no se limita a tomar posesión del cargo sino que, además, cuentan con una vertiente de acceso y desempeño del cargo, es decir, a desempeñar su función parlamentaria sin interrupciones ni barreras ilegítimas que hagan nugatorio ese derecho.</w:t>
      </w:r>
    </w:p>
    <w:p w14:paraId="1F06181B" w14:textId="7330EF31" w:rsidR="00AC33AC" w:rsidRPr="00E51638" w:rsidRDefault="00AC33AC" w:rsidP="006B23D7">
      <w:pPr>
        <w:pStyle w:val="Prrafo"/>
        <w:numPr>
          <w:ilvl w:val="0"/>
          <w:numId w:val="6"/>
        </w:numPr>
        <w:ind w:left="0" w:hanging="567"/>
        <w:rPr>
          <w:bCs/>
        </w:rPr>
      </w:pPr>
      <w:r w:rsidRPr="00E51638">
        <w:t>A partir de lo anterior, los accionantes sostienen que los actos intraparlamentarios que vulneren esa dimensión del derecho de votar y ser votado, deben poder ser justiciables ante el Tribunal Electoral del Poder Judicial de la Federación.</w:t>
      </w:r>
    </w:p>
    <w:p w14:paraId="5ACE8268" w14:textId="2A0A59BD" w:rsidR="006B23D7" w:rsidRPr="00E51638" w:rsidRDefault="006B23D7" w:rsidP="006B23D7">
      <w:pPr>
        <w:pStyle w:val="Prrafo"/>
        <w:numPr>
          <w:ilvl w:val="0"/>
          <w:numId w:val="6"/>
        </w:numPr>
        <w:ind w:left="0" w:hanging="567"/>
        <w:rPr>
          <w:bCs/>
        </w:rPr>
      </w:pPr>
      <w:r w:rsidRPr="00E51638">
        <w:t xml:space="preserve">En tal sentido, negar la naturaleza electoral de la norma en este considerando, </w:t>
      </w:r>
      <w:r w:rsidRPr="00E51638">
        <w:rPr>
          <w:lang w:val="es-ES"/>
        </w:rPr>
        <w:t>obligaría a adentrarse en cuestiones propias del fondo, en la medida en que implicaría descartar, al menos tácitamente, los méritos de los argumentos hechos valer por el partido accionante en torno a la violación de los derechos político-electorales que estima vulnerados con la emisión del decreto controvertido</w:t>
      </w:r>
      <w:r w:rsidR="00D17180" w:rsidRPr="00E51638">
        <w:rPr>
          <w:lang w:val="es-ES"/>
        </w:rPr>
        <w:t xml:space="preserve">. </w:t>
      </w:r>
    </w:p>
    <w:p w14:paraId="7E4DB273" w14:textId="410E8AE0" w:rsidR="006B23D7" w:rsidRPr="00E51638" w:rsidRDefault="006B23D7" w:rsidP="006B23D7">
      <w:pPr>
        <w:pStyle w:val="Prrafo"/>
        <w:numPr>
          <w:ilvl w:val="0"/>
          <w:numId w:val="6"/>
        </w:numPr>
        <w:ind w:left="0" w:hanging="567"/>
        <w:rPr>
          <w:bCs/>
        </w:rPr>
      </w:pPr>
      <w:r w:rsidRPr="00E51638">
        <w:t xml:space="preserve">Finalmente, se estima que la anterior postura es la más acorde con el principio </w:t>
      </w:r>
      <w:r w:rsidRPr="00E51638">
        <w:rPr>
          <w:i/>
          <w:iCs/>
        </w:rPr>
        <w:t>pro actione</w:t>
      </w:r>
      <w:r w:rsidRPr="00E51638">
        <w:t>,</w:t>
      </w:r>
      <w:r w:rsidRPr="00E51638">
        <w:rPr>
          <w:color w:val="212529"/>
          <w:shd w:val="clear" w:color="auto" w:fill="FFFFFF"/>
        </w:rPr>
        <w:t xml:space="preserve"> criterio que opera para resolver casos de duda en torno a si el Poder Judicial debe o no intervenir en el conocimiento de una cuestión, en términos de su justiciabilidad. En efecto, los órganos jurisdiccionales deben tener claras las facultades y las atribuciones que delimitan su ámbito o esfera competencial en función de los medios de impugnación cuyo conocimiento les ha sido constitucional y legalmente conferido; sin embargo, en casos donde no exista claridad respecto a si un asunto es o no justiciable, debe preferirse la protección del derecho de acceso a la jurisdicción</w:t>
      </w:r>
      <w:r w:rsidRPr="00E51638">
        <w:rPr>
          <w:rStyle w:val="Refdenotaalpie"/>
          <w:color w:val="212529"/>
          <w:shd w:val="clear" w:color="auto" w:fill="FFFFFF"/>
        </w:rPr>
        <w:footnoteReference w:id="18"/>
      </w:r>
      <w:r w:rsidR="00630AC9" w:rsidRPr="00E51638">
        <w:rPr>
          <w:color w:val="212529"/>
          <w:shd w:val="clear" w:color="auto" w:fill="FFFFFF"/>
        </w:rPr>
        <w:t>.</w:t>
      </w:r>
    </w:p>
    <w:p w14:paraId="6560F626" w14:textId="05ECE60E" w:rsidR="006B23D7" w:rsidRPr="00E51638" w:rsidRDefault="006B23D7" w:rsidP="006B23D7">
      <w:pPr>
        <w:pStyle w:val="Prrafo"/>
        <w:numPr>
          <w:ilvl w:val="0"/>
          <w:numId w:val="6"/>
        </w:numPr>
        <w:ind w:left="0" w:hanging="567"/>
        <w:rPr>
          <w:bCs/>
        </w:rPr>
      </w:pPr>
      <w:r w:rsidRPr="00E51638">
        <w:rPr>
          <w:lang w:eastAsia="es-MX"/>
        </w:rPr>
        <w:lastRenderedPageBreak/>
        <w:t xml:space="preserve">Así, una vez </w:t>
      </w:r>
      <w:r w:rsidRPr="00E51638">
        <w:rPr>
          <w:b/>
          <w:bCs/>
          <w:lang w:eastAsia="es-MX"/>
        </w:rPr>
        <w:t>desestimada la causal de improcedencia</w:t>
      </w:r>
      <w:r w:rsidRPr="00E51638">
        <w:rPr>
          <w:lang w:eastAsia="es-MX"/>
        </w:rPr>
        <w:t xml:space="preserve"> y en atención a que las autoridades emisora y promulgadora de la norma general no hicieron valer alguna otra ni esta Suprema Corte</w:t>
      </w:r>
      <w:r w:rsidRPr="00E51638">
        <w:t xml:space="preserve"> advierte de oficio la actualización de alguna diversa</w:t>
      </w:r>
      <w:r w:rsidRPr="00E51638">
        <w:rPr>
          <w:lang w:eastAsia="es-MX"/>
        </w:rPr>
        <w:t>, lo procedente es realizar el estudio de los conceptos de invalidez formulados por el partido político y la minoría parlamentaria promoventes.</w:t>
      </w:r>
    </w:p>
    <w:p w14:paraId="6E9513E7" w14:textId="286B11FB" w:rsidR="00AB5A9C" w:rsidRPr="00E51638" w:rsidRDefault="00577341" w:rsidP="00AB5A9C">
      <w:pPr>
        <w:pStyle w:val="Ttulo3"/>
        <w:numPr>
          <w:ilvl w:val="0"/>
          <w:numId w:val="7"/>
        </w:numPr>
        <w:ind w:left="0" w:firstLine="0"/>
      </w:pPr>
      <w:bookmarkStart w:id="46" w:name="_Toc108556664"/>
      <w:bookmarkStart w:id="47" w:name="_Toc108630501"/>
      <w:bookmarkStart w:id="48" w:name="_Toc108795866"/>
      <w:bookmarkStart w:id="49" w:name="_Toc109004120"/>
      <w:bookmarkStart w:id="50" w:name="_Toc113984438"/>
      <w:r>
        <w:t xml:space="preserve"> </w:t>
      </w:r>
      <w:r w:rsidR="00F15FD9" w:rsidRPr="00E51638">
        <w:t>ESTUDIO DE FONDO</w:t>
      </w:r>
      <w:bookmarkEnd w:id="46"/>
      <w:bookmarkEnd w:id="47"/>
      <w:bookmarkEnd w:id="48"/>
      <w:bookmarkEnd w:id="49"/>
      <w:bookmarkEnd w:id="50"/>
      <w:r>
        <w:t>.</w:t>
      </w:r>
    </w:p>
    <w:p w14:paraId="64D28EE4" w14:textId="2FED2EA1" w:rsidR="004279F3" w:rsidRPr="00E51638" w:rsidRDefault="00AB5A9C" w:rsidP="00CF6E91">
      <w:pPr>
        <w:pStyle w:val="Prrafo"/>
        <w:outlineLvl w:val="3"/>
      </w:pPr>
      <w:bookmarkStart w:id="51" w:name="_Toc108556665"/>
      <w:bookmarkStart w:id="52" w:name="_Toc108630502"/>
      <w:bookmarkStart w:id="53" w:name="_Toc108795867"/>
      <w:bookmarkStart w:id="54" w:name="_Toc109004121"/>
      <w:bookmarkStart w:id="55" w:name="_Toc113984439"/>
      <w:r w:rsidRPr="00E51638">
        <w:rPr>
          <w:b/>
          <w:bCs/>
        </w:rPr>
        <w:t>V.1. Consideraciones metodológicas</w:t>
      </w:r>
      <w:bookmarkEnd w:id="51"/>
      <w:bookmarkEnd w:id="52"/>
      <w:bookmarkEnd w:id="53"/>
      <w:bookmarkEnd w:id="54"/>
      <w:bookmarkEnd w:id="55"/>
      <w:r w:rsidR="003E6F04">
        <w:rPr>
          <w:b/>
          <w:bCs/>
        </w:rPr>
        <w:t>.</w:t>
      </w:r>
    </w:p>
    <w:p w14:paraId="7D0E1628" w14:textId="77777777" w:rsidR="004279F3" w:rsidRPr="00E51638" w:rsidRDefault="004279F3" w:rsidP="004279F3">
      <w:pPr>
        <w:pStyle w:val="Prrafo"/>
        <w:numPr>
          <w:ilvl w:val="0"/>
          <w:numId w:val="6"/>
        </w:numPr>
        <w:ind w:left="0" w:hanging="567"/>
      </w:pPr>
      <w:r w:rsidRPr="00E51638">
        <w:t>La norma impugnada es del tenor siguiente:</w:t>
      </w:r>
    </w:p>
    <w:p w14:paraId="2074EFFF" w14:textId="77777777" w:rsidR="004279F3" w:rsidRPr="00E51638" w:rsidRDefault="004279F3" w:rsidP="004279F3">
      <w:pPr>
        <w:pStyle w:val="Prrafo"/>
        <w:spacing w:before="0" w:after="0" w:line="240" w:lineRule="auto"/>
        <w:ind w:left="708" w:right="850"/>
        <w:rPr>
          <w:b/>
          <w:bCs/>
          <w:i/>
          <w:iCs/>
        </w:rPr>
      </w:pPr>
      <w:bookmarkStart w:id="56" w:name="OLE_LINK2"/>
      <w:r w:rsidRPr="00E51638">
        <w:t>“</w:t>
      </w:r>
      <w:r w:rsidRPr="00E51638">
        <w:rPr>
          <w:b/>
          <w:bCs/>
          <w:i/>
          <w:iCs/>
        </w:rPr>
        <w:t>Artículo 10</w:t>
      </w:r>
    </w:p>
    <w:p w14:paraId="4127E007" w14:textId="77777777" w:rsidR="004279F3" w:rsidRPr="00E51638" w:rsidRDefault="004279F3" w:rsidP="004279F3">
      <w:pPr>
        <w:pStyle w:val="Prrafo"/>
        <w:spacing w:before="0" w:after="0" w:line="240" w:lineRule="auto"/>
        <w:ind w:left="708" w:right="850"/>
        <w:rPr>
          <w:i/>
          <w:iCs/>
        </w:rPr>
      </w:pPr>
      <w:r w:rsidRPr="00E51638">
        <w:rPr>
          <w:i/>
          <w:iCs/>
        </w:rPr>
        <w:t xml:space="preserve">1. Los medios de impugnación previstos en esta ley serán improcedentes en los siguientes casos: </w:t>
      </w:r>
    </w:p>
    <w:p w14:paraId="31CA56F1" w14:textId="77777777" w:rsidR="004279F3" w:rsidRPr="00E51638" w:rsidRDefault="004279F3" w:rsidP="004279F3">
      <w:pPr>
        <w:pStyle w:val="Prrafo"/>
        <w:spacing w:before="0" w:after="0" w:line="240" w:lineRule="auto"/>
        <w:ind w:left="708" w:right="850"/>
        <w:rPr>
          <w:i/>
          <w:iCs/>
        </w:rPr>
      </w:pPr>
      <w:r w:rsidRPr="00E51638">
        <w:rPr>
          <w:i/>
          <w:iCs/>
        </w:rPr>
        <w:t>(…)</w:t>
      </w:r>
    </w:p>
    <w:p w14:paraId="3A7632B1" w14:textId="77777777" w:rsidR="004279F3" w:rsidRPr="00E51638" w:rsidRDefault="004279F3" w:rsidP="004279F3">
      <w:pPr>
        <w:pStyle w:val="Prrafo"/>
        <w:spacing w:before="0" w:after="0" w:line="240" w:lineRule="auto"/>
        <w:ind w:left="708" w:right="850"/>
      </w:pPr>
      <w:r w:rsidRPr="00E51638">
        <w:rPr>
          <w:i/>
          <w:iCs/>
        </w:rPr>
        <w:t>h) Cuando se pretenda impugnar cualquier acto parlamentario del Congreso de la Unión, su Comisión Permanente o cualquiera de sus Cámaras, emitido por sus órganos de gobierno, como los concernientes a la integración, organización y funcionamiento internos de sus órganos y comisiones legislativas</w:t>
      </w:r>
      <w:r w:rsidRPr="00E51638">
        <w:t>”.</w:t>
      </w:r>
    </w:p>
    <w:bookmarkEnd w:id="56"/>
    <w:p w14:paraId="638393A7" w14:textId="77777777" w:rsidR="004279F3" w:rsidRPr="00E51638" w:rsidRDefault="004279F3" w:rsidP="004279F3">
      <w:pPr>
        <w:pStyle w:val="Prrafo"/>
        <w:spacing w:before="0" w:after="0" w:line="240" w:lineRule="auto"/>
        <w:ind w:right="850"/>
      </w:pPr>
    </w:p>
    <w:p w14:paraId="18F969A3" w14:textId="2E227074" w:rsidR="00AB5A9C" w:rsidRPr="00E51638" w:rsidRDefault="00AB5A9C" w:rsidP="00AB5A9C">
      <w:pPr>
        <w:pStyle w:val="Prrafo"/>
        <w:numPr>
          <w:ilvl w:val="0"/>
          <w:numId w:val="6"/>
        </w:numPr>
        <w:ind w:left="0" w:hanging="567"/>
      </w:pPr>
      <w:r w:rsidRPr="00E51638">
        <w:t>Como se puede advertir de los antecedentes de esta acción de inconstitucionalidad</w:t>
      </w:r>
      <w:r w:rsidR="003E6F04">
        <w:t xml:space="preserve"> y su acumulada</w:t>
      </w:r>
      <w:r w:rsidRPr="00E51638">
        <w:t>, el Partido Movimiento Ciudadano y la minoría parlamentaria accionante, hicieron valer una serie de conceptos de invalidez tendentes a atacar la constitucionalidad del artículo 10, numeral 1, inciso h), de la Ley General del Sistema de Medios de Impugnación en Materia Electoral, por considerar que esta norma vulnera los principios de legalidad</w:t>
      </w:r>
      <w:r w:rsidR="00A669E5" w:rsidRPr="00E51638">
        <w:rPr>
          <w:rStyle w:val="Refdenotaalpie"/>
        </w:rPr>
        <w:footnoteReference w:id="19"/>
      </w:r>
      <w:r w:rsidRPr="00E51638">
        <w:t>, independencia judicial</w:t>
      </w:r>
      <w:r w:rsidR="00A669E5" w:rsidRPr="00E51638">
        <w:rPr>
          <w:rStyle w:val="Refdenotaalpie"/>
        </w:rPr>
        <w:footnoteReference w:id="20"/>
      </w:r>
      <w:r w:rsidRPr="00E51638">
        <w:t>, división de poderes</w:t>
      </w:r>
      <w:r w:rsidR="00A669E5" w:rsidRPr="00E51638">
        <w:rPr>
          <w:rStyle w:val="Refdenotaalpie"/>
        </w:rPr>
        <w:footnoteReference w:id="21"/>
      </w:r>
      <w:r w:rsidRPr="00E51638">
        <w:t xml:space="preserve"> y de progresividad de los derechos humanos</w:t>
      </w:r>
      <w:r w:rsidR="00A669E5" w:rsidRPr="00E51638">
        <w:rPr>
          <w:rStyle w:val="Refdenotaalpie"/>
        </w:rPr>
        <w:footnoteReference w:id="22"/>
      </w:r>
      <w:r w:rsidRPr="00E51638">
        <w:t>. Igualmente, consideran que vulnera</w:t>
      </w:r>
      <w:r w:rsidR="00A669E5" w:rsidRPr="00E51638">
        <w:t>n</w:t>
      </w:r>
      <w:r w:rsidRPr="00E51638">
        <w:t xml:space="preserve"> los derechos fundamentales de tutela judicial efectiva, en su modalidad de acceso a la justicia</w:t>
      </w:r>
      <w:r w:rsidR="00A669E5" w:rsidRPr="00E51638">
        <w:rPr>
          <w:rStyle w:val="Refdenotaalpie"/>
        </w:rPr>
        <w:footnoteReference w:id="23"/>
      </w:r>
      <w:r w:rsidRPr="00E51638">
        <w:t xml:space="preserve">, así como el derecho político-electoral de ser votado, en su vertiente de </w:t>
      </w:r>
      <w:r w:rsidRPr="00E51638">
        <w:lastRenderedPageBreak/>
        <w:t>ejercicio efectivo del cargo</w:t>
      </w:r>
      <w:r w:rsidR="00A669E5" w:rsidRPr="00E51638">
        <w:t>, todo lo cual pone en riesgo el orden democrático mexicano</w:t>
      </w:r>
      <w:r w:rsidR="00A669E5" w:rsidRPr="00E51638">
        <w:rPr>
          <w:rStyle w:val="Refdenotaalpie"/>
        </w:rPr>
        <w:footnoteReference w:id="24"/>
      </w:r>
      <w:r w:rsidRPr="00E51638">
        <w:t>.</w:t>
      </w:r>
    </w:p>
    <w:p w14:paraId="36CF1B1D" w14:textId="2BFC7072" w:rsidR="00A669E5" w:rsidRPr="00E51638" w:rsidRDefault="00A669E5" w:rsidP="00AB5A9C">
      <w:pPr>
        <w:pStyle w:val="Prrafo"/>
        <w:numPr>
          <w:ilvl w:val="0"/>
          <w:numId w:val="6"/>
        </w:numPr>
        <w:ind w:left="0" w:hanging="567"/>
      </w:pPr>
      <w:r w:rsidRPr="00E51638">
        <w:t>De este modo, para dar respuesta a los planteamientos hechos valer, se seguirá el orden siguiente:</w:t>
      </w:r>
    </w:p>
    <w:tbl>
      <w:tblPr>
        <w:tblW w:w="0" w:type="auto"/>
        <w:jc w:val="center"/>
        <w:tblCellMar>
          <w:left w:w="0" w:type="dxa"/>
          <w:right w:w="0" w:type="dxa"/>
        </w:tblCellMar>
        <w:tblLook w:val="04A0" w:firstRow="1" w:lastRow="0" w:firstColumn="1" w:lastColumn="0" w:noHBand="0" w:noVBand="1"/>
      </w:tblPr>
      <w:tblGrid>
        <w:gridCol w:w="1519"/>
        <w:gridCol w:w="4270"/>
        <w:gridCol w:w="3333"/>
      </w:tblGrid>
      <w:tr w:rsidR="000B04B6" w:rsidRPr="00E51638" w14:paraId="71FACD44" w14:textId="77777777" w:rsidTr="006B5D17">
        <w:trPr>
          <w:tblHeader/>
          <w:jc w:val="center"/>
        </w:trPr>
        <w:tc>
          <w:tcPr>
            <w:tcW w:w="1519" w:type="dxa"/>
            <w:tcBorders>
              <w:top w:val="single" w:sz="8" w:space="0" w:color="auto"/>
              <w:left w:val="single" w:sz="8" w:space="0" w:color="auto"/>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04EEB9E5" w14:textId="155B5DAE" w:rsidR="000B04B6" w:rsidRPr="00E51638" w:rsidRDefault="000B04B6" w:rsidP="003C1176">
            <w:pPr>
              <w:pStyle w:val="Prrafodelista"/>
              <w:spacing w:before="0" w:after="0" w:line="240" w:lineRule="auto"/>
              <w:ind w:left="-57"/>
              <w:jc w:val="center"/>
              <w:rPr>
                <w:b/>
                <w:bCs/>
                <w:color w:val="FFFFFF" w:themeColor="background1"/>
                <w:lang w:eastAsia="es-MX"/>
              </w:rPr>
            </w:pPr>
            <w:r w:rsidRPr="00E51638">
              <w:rPr>
                <w:b/>
                <w:bCs/>
                <w:color w:val="FFFFFF" w:themeColor="background1"/>
                <w:lang w:eastAsia="es-MX"/>
              </w:rPr>
              <w:t>APARTADO</w:t>
            </w:r>
          </w:p>
        </w:tc>
        <w:tc>
          <w:tcPr>
            <w:tcW w:w="4270" w:type="dxa"/>
            <w:tcBorders>
              <w:top w:val="single" w:sz="8" w:space="0" w:color="auto"/>
              <w:left w:val="nil"/>
              <w:bottom w:val="single" w:sz="8" w:space="0" w:color="auto"/>
              <w:right w:val="single" w:sz="8" w:space="0" w:color="auto"/>
            </w:tcBorders>
            <w:shd w:val="clear" w:color="auto" w:fill="1F3864" w:themeFill="accent1" w:themeFillShade="80"/>
            <w:tcMar>
              <w:top w:w="0" w:type="dxa"/>
              <w:left w:w="108" w:type="dxa"/>
              <w:bottom w:w="0" w:type="dxa"/>
              <w:right w:w="108" w:type="dxa"/>
            </w:tcMar>
            <w:vAlign w:val="center"/>
            <w:hideMark/>
          </w:tcPr>
          <w:p w14:paraId="555E48A7" w14:textId="5600505C" w:rsidR="000B04B6" w:rsidRPr="00E51638" w:rsidRDefault="000B04B6" w:rsidP="003C1176">
            <w:pPr>
              <w:pStyle w:val="Prrafodelista"/>
              <w:spacing w:before="0" w:after="0" w:line="240" w:lineRule="auto"/>
              <w:ind w:left="-57"/>
              <w:jc w:val="center"/>
              <w:rPr>
                <w:b/>
                <w:bCs/>
                <w:color w:val="FFFFFF" w:themeColor="background1"/>
                <w:lang w:eastAsia="es-MX"/>
              </w:rPr>
            </w:pPr>
            <w:r w:rsidRPr="00E51638">
              <w:rPr>
                <w:b/>
                <w:bCs/>
                <w:color w:val="FFFFFF" w:themeColor="background1"/>
                <w:lang w:eastAsia="es-MX"/>
              </w:rPr>
              <w:t>CONTENIDO DE LA IMPUGNACIÓN</w:t>
            </w:r>
          </w:p>
        </w:tc>
        <w:tc>
          <w:tcPr>
            <w:tcW w:w="3333" w:type="dxa"/>
            <w:tcBorders>
              <w:top w:val="single" w:sz="8" w:space="0" w:color="auto"/>
              <w:left w:val="nil"/>
              <w:bottom w:val="single" w:sz="8" w:space="0" w:color="auto"/>
              <w:right w:val="single" w:sz="8" w:space="0" w:color="auto"/>
            </w:tcBorders>
            <w:shd w:val="clear" w:color="auto" w:fill="1F3864" w:themeFill="accent1" w:themeFillShade="80"/>
          </w:tcPr>
          <w:p w14:paraId="1D160CEE" w14:textId="65EA3E15" w:rsidR="000B04B6" w:rsidRPr="00E51638" w:rsidRDefault="000B04B6" w:rsidP="003C1176">
            <w:pPr>
              <w:pStyle w:val="Prrafodelista"/>
              <w:spacing w:before="0" w:after="0" w:line="240" w:lineRule="auto"/>
              <w:ind w:left="220" w:right="34"/>
              <w:jc w:val="center"/>
              <w:rPr>
                <w:b/>
                <w:bCs/>
                <w:color w:val="FFFFFF" w:themeColor="background1"/>
                <w:lang w:eastAsia="es-MX"/>
              </w:rPr>
            </w:pPr>
            <w:r w:rsidRPr="00E51638">
              <w:rPr>
                <w:b/>
                <w:bCs/>
                <w:color w:val="FFFFFF" w:themeColor="background1"/>
                <w:lang w:eastAsia="es-MX"/>
              </w:rPr>
              <w:t>CONCEPTOS DE INVALIDEZ</w:t>
            </w:r>
          </w:p>
        </w:tc>
      </w:tr>
      <w:tr w:rsidR="006B5D17" w:rsidRPr="00E51638" w14:paraId="0FFDD68E" w14:textId="77777777" w:rsidTr="006B5D17">
        <w:trPr>
          <w:jc w:val="center"/>
        </w:trPr>
        <w:tc>
          <w:tcPr>
            <w:tcW w:w="1519" w:type="dxa"/>
            <w:tcBorders>
              <w:top w:val="nil"/>
              <w:left w:val="single" w:sz="8" w:space="0" w:color="auto"/>
              <w:bottom w:val="single" w:sz="4" w:space="0" w:color="auto"/>
              <w:right w:val="single" w:sz="8" w:space="0" w:color="auto"/>
            </w:tcBorders>
            <w:shd w:val="clear" w:color="auto" w:fill="F0F4FA"/>
            <w:tcMar>
              <w:top w:w="0" w:type="dxa"/>
              <w:left w:w="108" w:type="dxa"/>
              <w:bottom w:w="0" w:type="dxa"/>
              <w:right w:w="108" w:type="dxa"/>
            </w:tcMar>
            <w:vAlign w:val="center"/>
          </w:tcPr>
          <w:p w14:paraId="76F1CB94" w14:textId="7777777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p>
          <w:p w14:paraId="351BD84A" w14:textId="17470316"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r w:rsidRPr="00E51638">
              <w:rPr>
                <w:b/>
                <w:bCs/>
                <w:color w:val="201F1E"/>
                <w:bdr w:val="none" w:sz="0" w:space="0" w:color="auto" w:frame="1"/>
                <w:lang w:eastAsia="es-MX"/>
              </w:rPr>
              <w:t>V.2.</w:t>
            </w:r>
          </w:p>
          <w:p w14:paraId="450F319A" w14:textId="77777777" w:rsidR="006B5D17" w:rsidRPr="00E51638" w:rsidRDefault="006B5D17" w:rsidP="006B5D17">
            <w:pPr>
              <w:pStyle w:val="Prrafodelista"/>
              <w:spacing w:before="0" w:after="0" w:line="240" w:lineRule="auto"/>
              <w:ind w:left="-57"/>
              <w:jc w:val="center"/>
              <w:rPr>
                <w:color w:val="201F1E"/>
                <w:lang w:eastAsia="es-MX"/>
              </w:rPr>
            </w:pPr>
          </w:p>
        </w:tc>
        <w:tc>
          <w:tcPr>
            <w:tcW w:w="427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8455B8A" w14:textId="77777777" w:rsidR="006B5D17" w:rsidRPr="00E51638" w:rsidRDefault="006B5D17" w:rsidP="006B5D17">
            <w:pPr>
              <w:pStyle w:val="Prrafodelista"/>
              <w:spacing w:before="0" w:after="0" w:line="240" w:lineRule="auto"/>
              <w:ind w:left="-57"/>
              <w:rPr>
                <w:color w:val="201F1E"/>
                <w:bdr w:val="none" w:sz="0" w:space="0" w:color="auto" w:frame="1"/>
                <w:lang w:eastAsia="es-MX"/>
              </w:rPr>
            </w:pPr>
          </w:p>
          <w:p w14:paraId="25089C05" w14:textId="7A9F0880" w:rsidR="006B5D17" w:rsidRPr="00E51638" w:rsidRDefault="00996A82" w:rsidP="006B5D17">
            <w:pPr>
              <w:spacing w:before="0" w:after="0" w:line="240" w:lineRule="auto"/>
              <w:rPr>
                <w:color w:val="201F1E"/>
                <w:bdr w:val="none" w:sz="0" w:space="0" w:color="auto" w:frame="1"/>
                <w:lang w:eastAsia="es-MX"/>
              </w:rPr>
            </w:pPr>
            <w:r w:rsidRPr="00E51638">
              <w:rPr>
                <w:color w:val="201F1E"/>
                <w:bdr w:val="none" w:sz="0" w:space="0" w:color="auto" w:frame="1"/>
                <w:lang w:eastAsia="es-MX"/>
              </w:rPr>
              <w:t>Marco jurídico normativo.</w:t>
            </w:r>
          </w:p>
          <w:p w14:paraId="4588AC77" w14:textId="795DF839" w:rsidR="00996A82" w:rsidRPr="00E51638" w:rsidRDefault="00996A82" w:rsidP="006B5D17">
            <w:pPr>
              <w:spacing w:before="0" w:after="0" w:line="240" w:lineRule="auto"/>
              <w:rPr>
                <w:color w:val="201F1E"/>
                <w:bdr w:val="none" w:sz="0" w:space="0" w:color="auto" w:frame="1"/>
                <w:lang w:eastAsia="es-MX"/>
              </w:rPr>
            </w:pPr>
          </w:p>
        </w:tc>
        <w:tc>
          <w:tcPr>
            <w:tcW w:w="3333" w:type="dxa"/>
            <w:tcBorders>
              <w:top w:val="nil"/>
              <w:left w:val="nil"/>
              <w:bottom w:val="single" w:sz="4" w:space="0" w:color="auto"/>
              <w:right w:val="single" w:sz="8" w:space="0" w:color="auto"/>
            </w:tcBorders>
          </w:tcPr>
          <w:p w14:paraId="01428E60"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p>
          <w:p w14:paraId="239F0053" w14:textId="251D2255" w:rsidR="006B5D17" w:rsidRPr="00E51638" w:rsidRDefault="006B5D17" w:rsidP="006B5D17">
            <w:pPr>
              <w:pStyle w:val="Prrafodelista"/>
              <w:spacing w:before="0" w:after="0" w:line="240" w:lineRule="auto"/>
              <w:ind w:left="220" w:right="34"/>
              <w:rPr>
                <w:color w:val="201F1E"/>
                <w:bdr w:val="none" w:sz="0" w:space="0" w:color="auto" w:frame="1"/>
                <w:lang w:eastAsia="es-MX"/>
              </w:rPr>
            </w:pPr>
            <w:r w:rsidRPr="00E51638">
              <w:rPr>
                <w:color w:val="201F1E"/>
                <w:bdr w:val="none" w:sz="0" w:space="0" w:color="auto" w:frame="1"/>
                <w:lang w:eastAsia="es-MX"/>
              </w:rPr>
              <w:t xml:space="preserve">Estudio previo para el </w:t>
            </w:r>
            <w:r w:rsidR="00885E03" w:rsidRPr="00E51638">
              <w:rPr>
                <w:color w:val="201F1E"/>
                <w:bdr w:val="none" w:sz="0" w:space="0" w:color="auto" w:frame="1"/>
                <w:lang w:eastAsia="es-MX"/>
              </w:rPr>
              <w:t>análisis</w:t>
            </w:r>
            <w:r w:rsidRPr="00E51638">
              <w:rPr>
                <w:color w:val="201F1E"/>
                <w:bdr w:val="none" w:sz="0" w:space="0" w:color="auto" w:frame="1"/>
                <w:lang w:eastAsia="es-MX"/>
              </w:rPr>
              <w:t xml:space="preserve"> del fondo del caso</w:t>
            </w:r>
          </w:p>
          <w:p w14:paraId="16A340E9" w14:textId="0ADEE25F" w:rsidR="006B5D17" w:rsidRPr="00E51638" w:rsidRDefault="006B5D17" w:rsidP="006B5D17">
            <w:pPr>
              <w:pStyle w:val="Prrafodelista"/>
              <w:spacing w:before="0" w:after="0" w:line="240" w:lineRule="auto"/>
              <w:ind w:left="220" w:right="34"/>
              <w:rPr>
                <w:color w:val="201F1E"/>
                <w:bdr w:val="none" w:sz="0" w:space="0" w:color="auto" w:frame="1"/>
                <w:lang w:eastAsia="es-MX"/>
              </w:rPr>
            </w:pPr>
          </w:p>
        </w:tc>
      </w:tr>
      <w:tr w:rsidR="006B5D17" w:rsidRPr="00E51638" w14:paraId="769F2B1F" w14:textId="77777777" w:rsidTr="006B5D17">
        <w:trPr>
          <w:jc w:val="center"/>
        </w:trPr>
        <w:tc>
          <w:tcPr>
            <w:tcW w:w="1519" w:type="dxa"/>
            <w:tcBorders>
              <w:top w:val="nil"/>
              <w:left w:val="single" w:sz="8" w:space="0" w:color="auto"/>
              <w:bottom w:val="single" w:sz="4" w:space="0" w:color="auto"/>
              <w:right w:val="single" w:sz="8" w:space="0" w:color="auto"/>
            </w:tcBorders>
            <w:shd w:val="clear" w:color="auto" w:fill="F0F4FA"/>
            <w:tcMar>
              <w:top w:w="0" w:type="dxa"/>
              <w:left w:w="108" w:type="dxa"/>
              <w:bottom w:w="0" w:type="dxa"/>
              <w:right w:w="108" w:type="dxa"/>
            </w:tcMar>
            <w:vAlign w:val="center"/>
          </w:tcPr>
          <w:p w14:paraId="23CBF4A1" w14:textId="7777777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p>
          <w:p w14:paraId="62747976" w14:textId="7777777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r w:rsidRPr="00E51638">
              <w:rPr>
                <w:b/>
                <w:bCs/>
                <w:color w:val="201F1E"/>
                <w:bdr w:val="none" w:sz="0" w:space="0" w:color="auto" w:frame="1"/>
                <w:lang w:eastAsia="es-MX"/>
              </w:rPr>
              <w:t>V.3.</w:t>
            </w:r>
          </w:p>
          <w:p w14:paraId="07FDCDF1" w14:textId="7777777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p>
        </w:tc>
        <w:tc>
          <w:tcPr>
            <w:tcW w:w="427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9648DD1" w14:textId="77777777" w:rsidR="006B5D17" w:rsidRPr="00E51638" w:rsidRDefault="006B5D17" w:rsidP="006B5D17">
            <w:pPr>
              <w:pStyle w:val="Prrafodelista"/>
              <w:spacing w:before="0" w:after="0" w:line="240" w:lineRule="auto"/>
              <w:ind w:left="-57"/>
              <w:rPr>
                <w:color w:val="201F1E"/>
                <w:bdr w:val="none" w:sz="0" w:space="0" w:color="auto" w:frame="1"/>
                <w:lang w:eastAsia="es-MX"/>
              </w:rPr>
            </w:pPr>
            <w:bookmarkStart w:id="57" w:name="_Hlk52883907"/>
          </w:p>
          <w:p w14:paraId="11A15EA0" w14:textId="77777777" w:rsidR="006B5D17" w:rsidRPr="00E51638" w:rsidRDefault="006B5D17" w:rsidP="006B5D17">
            <w:pPr>
              <w:pStyle w:val="Prrafodelista"/>
              <w:spacing w:before="0" w:after="0" w:line="240" w:lineRule="auto"/>
              <w:ind w:left="-57"/>
              <w:rPr>
                <w:color w:val="201F1E"/>
                <w:bdr w:val="none" w:sz="0" w:space="0" w:color="auto" w:frame="1"/>
                <w:lang w:eastAsia="es-MX"/>
              </w:rPr>
            </w:pPr>
            <w:r w:rsidRPr="00E51638">
              <w:rPr>
                <w:color w:val="201F1E"/>
                <w:bdr w:val="none" w:sz="0" w:space="0" w:color="auto" w:frame="1"/>
                <w:lang w:eastAsia="es-MX"/>
              </w:rPr>
              <w:t>Violación del derecho de tutela judicial efectiva y del orden democrático mexicano. Ausencia de un recurso efectivo para proteger el derecho político-electoral de ser votado, en su vertiente de acceso y desempeño del cargo.</w:t>
            </w:r>
          </w:p>
          <w:bookmarkEnd w:id="57"/>
          <w:p w14:paraId="2ED2526B" w14:textId="77777777" w:rsidR="006B5D17" w:rsidRPr="00E51638" w:rsidRDefault="006B5D17" w:rsidP="006B5D17">
            <w:pPr>
              <w:pStyle w:val="Prrafodelista"/>
              <w:spacing w:before="0" w:after="0" w:line="240" w:lineRule="auto"/>
              <w:ind w:left="-57"/>
              <w:rPr>
                <w:color w:val="201F1E"/>
                <w:bdr w:val="none" w:sz="0" w:space="0" w:color="auto" w:frame="1"/>
                <w:lang w:eastAsia="es-MX"/>
              </w:rPr>
            </w:pPr>
          </w:p>
        </w:tc>
        <w:tc>
          <w:tcPr>
            <w:tcW w:w="3333" w:type="dxa"/>
            <w:tcBorders>
              <w:top w:val="nil"/>
              <w:left w:val="nil"/>
              <w:bottom w:val="single" w:sz="4" w:space="0" w:color="auto"/>
              <w:right w:val="single" w:sz="8" w:space="0" w:color="auto"/>
            </w:tcBorders>
          </w:tcPr>
          <w:p w14:paraId="76B7CF7A"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p>
          <w:p w14:paraId="049F73BC"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r w:rsidRPr="00E51638">
              <w:rPr>
                <w:b/>
                <w:bCs/>
                <w:color w:val="201F1E"/>
                <w:bdr w:val="none" w:sz="0" w:space="0" w:color="auto" w:frame="1"/>
                <w:lang w:eastAsia="es-MX"/>
              </w:rPr>
              <w:t>Primero y Quinto</w:t>
            </w:r>
            <w:r w:rsidRPr="00E51638">
              <w:rPr>
                <w:color w:val="201F1E"/>
                <w:bdr w:val="none" w:sz="0" w:space="0" w:color="auto" w:frame="1"/>
                <w:lang w:eastAsia="es-MX"/>
              </w:rPr>
              <w:t xml:space="preserve"> de la minoría parlamentaria</w:t>
            </w:r>
          </w:p>
          <w:p w14:paraId="7427A2E0"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r w:rsidRPr="00E51638">
              <w:rPr>
                <w:b/>
                <w:bCs/>
                <w:color w:val="201F1E"/>
                <w:bdr w:val="none" w:sz="0" w:space="0" w:color="auto" w:frame="1"/>
                <w:lang w:eastAsia="es-MX"/>
              </w:rPr>
              <w:t>Quinto y Cuarto</w:t>
            </w:r>
            <w:r w:rsidRPr="00E51638">
              <w:rPr>
                <w:color w:val="201F1E"/>
                <w:bdr w:val="none" w:sz="0" w:space="0" w:color="auto" w:frame="1"/>
                <w:lang w:eastAsia="es-MX"/>
              </w:rPr>
              <w:t xml:space="preserve"> de Movimiento Ciudadano</w:t>
            </w:r>
          </w:p>
          <w:p w14:paraId="55B0B1BB"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p>
        </w:tc>
      </w:tr>
      <w:tr w:rsidR="006B5D17" w:rsidRPr="00E51638" w14:paraId="201FD600" w14:textId="77777777" w:rsidTr="006B5D17">
        <w:trPr>
          <w:jc w:val="center"/>
        </w:trPr>
        <w:tc>
          <w:tcPr>
            <w:tcW w:w="1519" w:type="dxa"/>
            <w:tcBorders>
              <w:top w:val="nil"/>
              <w:left w:val="single" w:sz="8" w:space="0" w:color="auto"/>
              <w:bottom w:val="single" w:sz="4" w:space="0" w:color="auto"/>
              <w:right w:val="single" w:sz="8" w:space="0" w:color="auto"/>
            </w:tcBorders>
            <w:shd w:val="clear" w:color="auto" w:fill="F0F4FA"/>
            <w:tcMar>
              <w:top w:w="0" w:type="dxa"/>
              <w:left w:w="108" w:type="dxa"/>
              <w:bottom w:w="0" w:type="dxa"/>
              <w:right w:w="108" w:type="dxa"/>
            </w:tcMar>
            <w:vAlign w:val="center"/>
          </w:tcPr>
          <w:p w14:paraId="181CCA00" w14:textId="7777777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p>
          <w:p w14:paraId="237E0F42" w14:textId="714417E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r w:rsidRPr="00E51638">
              <w:rPr>
                <w:b/>
                <w:bCs/>
                <w:color w:val="201F1E"/>
                <w:bdr w:val="none" w:sz="0" w:space="0" w:color="auto" w:frame="1"/>
                <w:lang w:eastAsia="es-MX"/>
              </w:rPr>
              <w:t xml:space="preserve">V.4. </w:t>
            </w:r>
          </w:p>
          <w:p w14:paraId="361C25BA" w14:textId="7777777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p>
        </w:tc>
        <w:tc>
          <w:tcPr>
            <w:tcW w:w="427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0E026BC" w14:textId="4B3FC671" w:rsidR="006B5D17" w:rsidRPr="00E51638" w:rsidRDefault="006B5D17" w:rsidP="006B5D17">
            <w:pPr>
              <w:pStyle w:val="Prrafodelista"/>
              <w:spacing w:before="0" w:after="0" w:line="240" w:lineRule="auto"/>
              <w:ind w:left="-57"/>
              <w:rPr>
                <w:color w:val="201F1E"/>
                <w:bdr w:val="none" w:sz="0" w:space="0" w:color="auto" w:frame="1"/>
                <w:lang w:eastAsia="es-MX"/>
              </w:rPr>
            </w:pPr>
            <w:r w:rsidRPr="00E51638">
              <w:rPr>
                <w:color w:val="201F1E"/>
                <w:bdr w:val="none" w:sz="0" w:space="0" w:color="auto" w:frame="1"/>
                <w:lang w:eastAsia="es-MX"/>
              </w:rPr>
              <w:t xml:space="preserve">Violación </w:t>
            </w:r>
            <w:r w:rsidR="00C03E3A" w:rsidRPr="00E51638">
              <w:rPr>
                <w:color w:val="201F1E"/>
                <w:bdr w:val="none" w:sz="0" w:space="0" w:color="auto" w:frame="1"/>
                <w:lang w:eastAsia="es-MX"/>
              </w:rPr>
              <w:t>del</w:t>
            </w:r>
            <w:r w:rsidRPr="00E51638">
              <w:rPr>
                <w:color w:val="201F1E"/>
                <w:bdr w:val="none" w:sz="0" w:space="0" w:color="auto" w:frame="1"/>
                <w:lang w:eastAsia="es-MX"/>
              </w:rPr>
              <w:t xml:space="preserve"> principio de legalidad.</w:t>
            </w:r>
          </w:p>
        </w:tc>
        <w:tc>
          <w:tcPr>
            <w:tcW w:w="3333" w:type="dxa"/>
            <w:tcBorders>
              <w:top w:val="nil"/>
              <w:left w:val="nil"/>
              <w:bottom w:val="single" w:sz="4" w:space="0" w:color="auto"/>
              <w:right w:val="single" w:sz="8" w:space="0" w:color="auto"/>
            </w:tcBorders>
          </w:tcPr>
          <w:p w14:paraId="623AF627"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p>
          <w:p w14:paraId="0B0219C0"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r w:rsidRPr="00E51638">
              <w:rPr>
                <w:b/>
                <w:bCs/>
                <w:color w:val="201F1E"/>
                <w:bdr w:val="none" w:sz="0" w:space="0" w:color="auto" w:frame="1"/>
                <w:lang w:eastAsia="es-MX"/>
              </w:rPr>
              <w:t>Segundo</w:t>
            </w:r>
            <w:r w:rsidRPr="00E51638">
              <w:rPr>
                <w:color w:val="201F1E"/>
                <w:bdr w:val="none" w:sz="0" w:space="0" w:color="auto" w:frame="1"/>
                <w:lang w:eastAsia="es-MX"/>
              </w:rPr>
              <w:t xml:space="preserve"> de la minoría parlamentaria</w:t>
            </w:r>
          </w:p>
          <w:p w14:paraId="6AA29D95"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r w:rsidRPr="00E51638">
              <w:rPr>
                <w:b/>
                <w:bCs/>
                <w:color w:val="201F1E"/>
                <w:bdr w:val="none" w:sz="0" w:space="0" w:color="auto" w:frame="1"/>
                <w:lang w:eastAsia="es-MX"/>
              </w:rPr>
              <w:t>Primero</w:t>
            </w:r>
            <w:r w:rsidRPr="00E51638">
              <w:rPr>
                <w:color w:val="201F1E"/>
                <w:bdr w:val="none" w:sz="0" w:space="0" w:color="auto" w:frame="1"/>
                <w:lang w:eastAsia="es-MX"/>
              </w:rPr>
              <w:t xml:space="preserve"> de Movimiento Ciudadano</w:t>
            </w:r>
          </w:p>
          <w:p w14:paraId="7B845E3A"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p>
        </w:tc>
      </w:tr>
      <w:tr w:rsidR="006B5D17" w:rsidRPr="00E51638" w14:paraId="2BD16768" w14:textId="77777777" w:rsidTr="006B5D17">
        <w:trPr>
          <w:jc w:val="center"/>
        </w:trPr>
        <w:tc>
          <w:tcPr>
            <w:tcW w:w="1519" w:type="dxa"/>
            <w:tcBorders>
              <w:top w:val="nil"/>
              <w:left w:val="single" w:sz="8" w:space="0" w:color="auto"/>
              <w:bottom w:val="single" w:sz="4" w:space="0" w:color="auto"/>
              <w:right w:val="single" w:sz="8" w:space="0" w:color="auto"/>
            </w:tcBorders>
            <w:shd w:val="clear" w:color="auto" w:fill="F0F4FA"/>
            <w:tcMar>
              <w:top w:w="0" w:type="dxa"/>
              <w:left w:w="108" w:type="dxa"/>
              <w:bottom w:w="0" w:type="dxa"/>
              <w:right w:w="108" w:type="dxa"/>
            </w:tcMar>
            <w:vAlign w:val="center"/>
          </w:tcPr>
          <w:p w14:paraId="00618C74" w14:textId="7777777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p>
          <w:p w14:paraId="3955F870" w14:textId="69B5E6D5"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r w:rsidRPr="00E51638">
              <w:rPr>
                <w:b/>
                <w:bCs/>
                <w:color w:val="201F1E"/>
                <w:bdr w:val="none" w:sz="0" w:space="0" w:color="auto" w:frame="1"/>
                <w:lang w:eastAsia="es-MX"/>
              </w:rPr>
              <w:t>V.5.</w:t>
            </w:r>
          </w:p>
          <w:p w14:paraId="3228A04E" w14:textId="7777777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p>
        </w:tc>
        <w:tc>
          <w:tcPr>
            <w:tcW w:w="427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B9A9A5D" w14:textId="79EC7C08" w:rsidR="006B5D17" w:rsidRPr="00E51638" w:rsidRDefault="006B5D17" w:rsidP="006B5D17">
            <w:pPr>
              <w:pStyle w:val="Prrafodelista"/>
              <w:spacing w:before="0" w:after="0" w:line="240" w:lineRule="auto"/>
              <w:ind w:left="-57"/>
              <w:rPr>
                <w:color w:val="201F1E"/>
                <w:bdr w:val="none" w:sz="0" w:space="0" w:color="auto" w:frame="1"/>
                <w:lang w:eastAsia="es-MX"/>
              </w:rPr>
            </w:pPr>
            <w:r w:rsidRPr="00E51638">
              <w:rPr>
                <w:color w:val="201F1E"/>
                <w:bdr w:val="none" w:sz="0" w:space="0" w:color="auto" w:frame="1"/>
                <w:lang w:eastAsia="es-MX"/>
              </w:rPr>
              <w:t xml:space="preserve">Violación </w:t>
            </w:r>
            <w:r w:rsidR="00C03E3A" w:rsidRPr="00E51638">
              <w:rPr>
                <w:color w:val="201F1E"/>
                <w:bdr w:val="none" w:sz="0" w:space="0" w:color="auto" w:frame="1"/>
                <w:lang w:eastAsia="es-MX"/>
              </w:rPr>
              <w:t>del</w:t>
            </w:r>
            <w:r w:rsidR="007268E4">
              <w:rPr>
                <w:color w:val="201F1E"/>
                <w:bdr w:val="none" w:sz="0" w:space="0" w:color="auto" w:frame="1"/>
                <w:lang w:eastAsia="es-MX"/>
              </w:rPr>
              <w:t xml:space="preserve"> </w:t>
            </w:r>
            <w:r w:rsidRPr="00E51638">
              <w:rPr>
                <w:color w:val="201F1E"/>
                <w:bdr w:val="none" w:sz="0" w:space="0" w:color="auto" w:frame="1"/>
                <w:lang w:eastAsia="es-MX"/>
              </w:rPr>
              <w:t>principio de independencia judicial y división de poderes.</w:t>
            </w:r>
          </w:p>
        </w:tc>
        <w:tc>
          <w:tcPr>
            <w:tcW w:w="3333" w:type="dxa"/>
            <w:tcBorders>
              <w:top w:val="nil"/>
              <w:left w:val="nil"/>
              <w:bottom w:val="single" w:sz="4" w:space="0" w:color="auto"/>
              <w:right w:val="single" w:sz="8" w:space="0" w:color="auto"/>
            </w:tcBorders>
          </w:tcPr>
          <w:p w14:paraId="5520CD4E"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p>
          <w:p w14:paraId="66711C46"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r w:rsidRPr="00E51638">
              <w:rPr>
                <w:b/>
                <w:bCs/>
                <w:color w:val="201F1E"/>
                <w:bdr w:val="none" w:sz="0" w:space="0" w:color="auto" w:frame="1"/>
                <w:lang w:eastAsia="es-MX"/>
              </w:rPr>
              <w:t>Segundo y  Tercero</w:t>
            </w:r>
            <w:r w:rsidRPr="00E51638">
              <w:rPr>
                <w:color w:val="201F1E"/>
                <w:bdr w:val="none" w:sz="0" w:space="0" w:color="auto" w:frame="1"/>
                <w:lang w:eastAsia="es-MX"/>
              </w:rPr>
              <w:t xml:space="preserve"> de la minoría parlamentaria</w:t>
            </w:r>
          </w:p>
          <w:p w14:paraId="1C569BB3"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r w:rsidRPr="00E51638">
              <w:rPr>
                <w:b/>
                <w:bCs/>
                <w:color w:val="201F1E"/>
                <w:bdr w:val="none" w:sz="0" w:space="0" w:color="auto" w:frame="1"/>
                <w:lang w:eastAsia="es-MX"/>
              </w:rPr>
              <w:t>Segundo y Tercero</w:t>
            </w:r>
            <w:r w:rsidRPr="00E51638">
              <w:rPr>
                <w:color w:val="201F1E"/>
                <w:bdr w:val="none" w:sz="0" w:space="0" w:color="auto" w:frame="1"/>
                <w:lang w:eastAsia="es-MX"/>
              </w:rPr>
              <w:t xml:space="preserve"> de Movimiento Ciudadano</w:t>
            </w:r>
          </w:p>
          <w:p w14:paraId="419FD594"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p>
        </w:tc>
      </w:tr>
      <w:tr w:rsidR="006B5D17" w:rsidRPr="00E51638" w14:paraId="7A9D79E3" w14:textId="77777777" w:rsidTr="006B5D17">
        <w:trPr>
          <w:jc w:val="center"/>
        </w:trPr>
        <w:tc>
          <w:tcPr>
            <w:tcW w:w="1519" w:type="dxa"/>
            <w:tcBorders>
              <w:top w:val="nil"/>
              <w:left w:val="single" w:sz="8" w:space="0" w:color="auto"/>
              <w:bottom w:val="single" w:sz="4" w:space="0" w:color="auto"/>
              <w:right w:val="single" w:sz="8" w:space="0" w:color="auto"/>
            </w:tcBorders>
            <w:shd w:val="clear" w:color="auto" w:fill="F0F4FA"/>
            <w:tcMar>
              <w:top w:w="0" w:type="dxa"/>
              <w:left w:w="108" w:type="dxa"/>
              <w:bottom w:w="0" w:type="dxa"/>
              <w:right w:w="108" w:type="dxa"/>
            </w:tcMar>
            <w:vAlign w:val="center"/>
          </w:tcPr>
          <w:p w14:paraId="1B78D60D" w14:textId="7777777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p>
          <w:p w14:paraId="05B87F54" w14:textId="093B4336"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r w:rsidRPr="00E51638">
              <w:rPr>
                <w:b/>
                <w:bCs/>
                <w:color w:val="201F1E"/>
                <w:bdr w:val="none" w:sz="0" w:space="0" w:color="auto" w:frame="1"/>
                <w:lang w:eastAsia="es-MX"/>
              </w:rPr>
              <w:t>V.6</w:t>
            </w:r>
          </w:p>
          <w:p w14:paraId="11F95B63" w14:textId="77777777" w:rsidR="006B5D17" w:rsidRPr="00E51638" w:rsidRDefault="006B5D17" w:rsidP="006B5D17">
            <w:pPr>
              <w:pStyle w:val="Prrafodelista"/>
              <w:spacing w:before="0" w:after="0" w:line="240" w:lineRule="auto"/>
              <w:ind w:left="-57"/>
              <w:jc w:val="center"/>
              <w:rPr>
                <w:b/>
                <w:bCs/>
                <w:color w:val="201F1E"/>
                <w:bdr w:val="none" w:sz="0" w:space="0" w:color="auto" w:frame="1"/>
                <w:lang w:eastAsia="es-MX"/>
              </w:rPr>
            </w:pPr>
          </w:p>
        </w:tc>
        <w:tc>
          <w:tcPr>
            <w:tcW w:w="427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6339C57" w14:textId="1B28D4F8" w:rsidR="006B5D17" w:rsidRPr="00E51638" w:rsidRDefault="006B5D17" w:rsidP="006B5D17">
            <w:pPr>
              <w:pStyle w:val="Prrafodelista"/>
              <w:spacing w:before="0" w:after="0" w:line="240" w:lineRule="auto"/>
              <w:ind w:left="-57"/>
              <w:rPr>
                <w:color w:val="201F1E"/>
                <w:bdr w:val="none" w:sz="0" w:space="0" w:color="auto" w:frame="1"/>
                <w:lang w:eastAsia="es-MX"/>
              </w:rPr>
            </w:pPr>
          </w:p>
          <w:p w14:paraId="25017200" w14:textId="322F2E0E" w:rsidR="006B5D17" w:rsidRPr="00E51638" w:rsidRDefault="006B5D17" w:rsidP="006B5D17">
            <w:pPr>
              <w:pStyle w:val="Prrafodelista"/>
              <w:spacing w:before="0" w:after="0" w:line="240" w:lineRule="auto"/>
              <w:ind w:left="-57"/>
              <w:rPr>
                <w:color w:val="201F1E"/>
                <w:bdr w:val="none" w:sz="0" w:space="0" w:color="auto" w:frame="1"/>
                <w:lang w:eastAsia="es-MX"/>
              </w:rPr>
            </w:pPr>
            <w:r w:rsidRPr="00E51638">
              <w:rPr>
                <w:color w:val="201F1E"/>
                <w:bdr w:val="none" w:sz="0" w:space="0" w:color="auto" w:frame="1"/>
                <w:lang w:eastAsia="es-MX"/>
              </w:rPr>
              <w:t xml:space="preserve">Violación </w:t>
            </w:r>
            <w:r w:rsidR="00C03E3A" w:rsidRPr="00E51638">
              <w:rPr>
                <w:color w:val="201F1E"/>
                <w:bdr w:val="none" w:sz="0" w:space="0" w:color="auto" w:frame="1"/>
                <w:lang w:eastAsia="es-MX"/>
              </w:rPr>
              <w:t>del</w:t>
            </w:r>
            <w:r w:rsidRPr="00E51638">
              <w:rPr>
                <w:color w:val="201F1E"/>
                <w:bdr w:val="none" w:sz="0" w:space="0" w:color="auto" w:frame="1"/>
                <w:lang w:eastAsia="es-MX"/>
              </w:rPr>
              <w:t xml:space="preserve"> principio de progresividad, en su vertiente de no regresividad.</w:t>
            </w:r>
          </w:p>
          <w:p w14:paraId="437F2CE9" w14:textId="77777777" w:rsidR="006B5D17" w:rsidRPr="00E51638" w:rsidRDefault="006B5D17" w:rsidP="006B5D17">
            <w:pPr>
              <w:pStyle w:val="Prrafodelista"/>
              <w:spacing w:before="0" w:after="0" w:line="240" w:lineRule="auto"/>
              <w:ind w:left="-57"/>
              <w:rPr>
                <w:color w:val="201F1E"/>
                <w:bdr w:val="none" w:sz="0" w:space="0" w:color="auto" w:frame="1"/>
                <w:lang w:eastAsia="es-MX"/>
              </w:rPr>
            </w:pPr>
          </w:p>
        </w:tc>
        <w:tc>
          <w:tcPr>
            <w:tcW w:w="3333" w:type="dxa"/>
            <w:tcBorders>
              <w:top w:val="nil"/>
              <w:left w:val="nil"/>
              <w:bottom w:val="single" w:sz="4" w:space="0" w:color="auto"/>
              <w:right w:val="single" w:sz="8" w:space="0" w:color="auto"/>
            </w:tcBorders>
          </w:tcPr>
          <w:p w14:paraId="00EAC85B"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p>
          <w:p w14:paraId="4A14F924"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r w:rsidRPr="00E51638">
              <w:rPr>
                <w:b/>
                <w:bCs/>
                <w:color w:val="201F1E"/>
                <w:bdr w:val="none" w:sz="0" w:space="0" w:color="auto" w:frame="1"/>
                <w:lang w:eastAsia="es-MX"/>
              </w:rPr>
              <w:t>Cuarto</w:t>
            </w:r>
            <w:r w:rsidRPr="00E51638">
              <w:rPr>
                <w:color w:val="201F1E"/>
                <w:bdr w:val="none" w:sz="0" w:space="0" w:color="auto" w:frame="1"/>
                <w:lang w:eastAsia="es-MX"/>
              </w:rPr>
              <w:t xml:space="preserve"> de la minoría parlamentaria</w:t>
            </w:r>
          </w:p>
          <w:p w14:paraId="21A6A8C2" w14:textId="77777777" w:rsidR="006B5D17" w:rsidRPr="00E51638" w:rsidRDefault="006B5D17" w:rsidP="006B5D17">
            <w:pPr>
              <w:pStyle w:val="Prrafodelista"/>
              <w:spacing w:before="0" w:after="0" w:line="240" w:lineRule="auto"/>
              <w:ind w:left="220" w:right="34"/>
              <w:rPr>
                <w:color w:val="201F1E"/>
                <w:bdr w:val="none" w:sz="0" w:space="0" w:color="auto" w:frame="1"/>
                <w:lang w:eastAsia="es-MX"/>
              </w:rPr>
            </w:pPr>
            <w:r w:rsidRPr="00E51638">
              <w:rPr>
                <w:b/>
                <w:bCs/>
                <w:color w:val="201F1E"/>
                <w:bdr w:val="none" w:sz="0" w:space="0" w:color="auto" w:frame="1"/>
                <w:lang w:eastAsia="es-MX"/>
              </w:rPr>
              <w:t>Sexto</w:t>
            </w:r>
            <w:r w:rsidRPr="00E51638">
              <w:rPr>
                <w:color w:val="201F1E"/>
                <w:bdr w:val="none" w:sz="0" w:space="0" w:color="auto" w:frame="1"/>
                <w:lang w:eastAsia="es-MX"/>
              </w:rPr>
              <w:t xml:space="preserve"> de Movimiento Ciudadano</w:t>
            </w:r>
          </w:p>
          <w:p w14:paraId="11A4CEC8" w14:textId="77777777" w:rsidR="006B5D17" w:rsidRPr="00E51638" w:rsidRDefault="006B5D17" w:rsidP="00C03E3A">
            <w:pPr>
              <w:spacing w:before="0" w:after="0" w:line="240" w:lineRule="auto"/>
              <w:ind w:right="34"/>
              <w:rPr>
                <w:color w:val="201F1E"/>
                <w:bdr w:val="none" w:sz="0" w:space="0" w:color="auto" w:frame="1"/>
                <w:lang w:eastAsia="es-MX"/>
              </w:rPr>
            </w:pPr>
          </w:p>
        </w:tc>
      </w:tr>
    </w:tbl>
    <w:p w14:paraId="67A375E5" w14:textId="77777777" w:rsidR="000B04B6" w:rsidRPr="00E51638" w:rsidRDefault="000B04B6" w:rsidP="00C03E3A">
      <w:pPr>
        <w:pStyle w:val="Prrafo"/>
        <w:spacing w:line="240" w:lineRule="auto"/>
      </w:pPr>
    </w:p>
    <w:p w14:paraId="5B59AD84" w14:textId="65E1B895" w:rsidR="000B04B6" w:rsidRPr="00E51638" w:rsidRDefault="000B04B6" w:rsidP="00996A82">
      <w:pPr>
        <w:pStyle w:val="Prrafo"/>
        <w:outlineLvl w:val="3"/>
        <w:rPr>
          <w:b/>
          <w:bCs/>
        </w:rPr>
      </w:pPr>
      <w:bookmarkStart w:id="58" w:name="_Toc108556666"/>
      <w:bookmarkStart w:id="59" w:name="_Toc108630503"/>
      <w:bookmarkStart w:id="60" w:name="_Toc108795868"/>
      <w:bookmarkStart w:id="61" w:name="_Toc109004122"/>
      <w:bookmarkStart w:id="62" w:name="_Toc113984440"/>
      <w:r w:rsidRPr="00E51638">
        <w:rPr>
          <w:b/>
          <w:bCs/>
        </w:rPr>
        <w:t xml:space="preserve">V.2. </w:t>
      </w:r>
      <w:r w:rsidR="006B5D17" w:rsidRPr="00E51638">
        <w:rPr>
          <w:b/>
          <w:bCs/>
        </w:rPr>
        <w:t>Marco jurídico normativo</w:t>
      </w:r>
      <w:r w:rsidRPr="00E51638">
        <w:rPr>
          <w:b/>
          <w:bCs/>
        </w:rPr>
        <w:t>.</w:t>
      </w:r>
      <w:bookmarkEnd w:id="58"/>
      <w:bookmarkEnd w:id="59"/>
      <w:bookmarkEnd w:id="60"/>
      <w:bookmarkEnd w:id="61"/>
      <w:bookmarkEnd w:id="62"/>
    </w:p>
    <w:p w14:paraId="61BC6933" w14:textId="5124F858" w:rsidR="00905737" w:rsidRPr="00E51638" w:rsidRDefault="00905737" w:rsidP="00EB0F69">
      <w:pPr>
        <w:pStyle w:val="Prrafo"/>
        <w:numPr>
          <w:ilvl w:val="0"/>
          <w:numId w:val="6"/>
        </w:numPr>
        <w:spacing w:after="0"/>
        <w:ind w:left="0" w:hanging="567"/>
      </w:pPr>
      <w:r w:rsidRPr="00E51638">
        <w:lastRenderedPageBreak/>
        <w:t>En este apartado se sentará el marco jurídico y normativo necesario para analizar la constitucionalidad de la norma impugnada, de acuerdo con los conceptos de invalidez planteados por las partes accionantes.</w:t>
      </w:r>
    </w:p>
    <w:p w14:paraId="4D5268F0" w14:textId="6F9DBB16" w:rsidR="00EB0F69" w:rsidRPr="00E51638" w:rsidRDefault="00EB0F69" w:rsidP="00C03E3A">
      <w:pPr>
        <w:pStyle w:val="Prrafo"/>
        <w:numPr>
          <w:ilvl w:val="0"/>
          <w:numId w:val="6"/>
        </w:numPr>
        <w:ind w:left="0" w:hanging="567"/>
      </w:pPr>
      <w:r w:rsidRPr="00E51638">
        <w:t>Para ese efecto, a continuación se abordarán los siguientes temas: primero (</w:t>
      </w:r>
      <w:r w:rsidRPr="00E51638">
        <w:rPr>
          <w:b/>
          <w:bCs/>
        </w:rPr>
        <w:t>sub-apartad</w:t>
      </w:r>
      <w:r w:rsidR="00B513C1" w:rsidRPr="00E51638">
        <w:rPr>
          <w:b/>
          <w:bCs/>
        </w:rPr>
        <w:t xml:space="preserve">o </w:t>
      </w:r>
      <w:r w:rsidRPr="00E51638">
        <w:rPr>
          <w:b/>
          <w:bCs/>
        </w:rPr>
        <w:t>A</w:t>
      </w:r>
      <w:r w:rsidRPr="00E51638">
        <w:t>) se recordará la doctrina sobre la tutela judicial efectiva en su dimensión de acceso a los recursos; en segundo lugar (</w:t>
      </w:r>
      <w:r w:rsidRPr="00E51638">
        <w:rPr>
          <w:b/>
          <w:bCs/>
        </w:rPr>
        <w:t>sub-apartado B</w:t>
      </w:r>
      <w:r w:rsidRPr="00E51638">
        <w:t xml:space="preserve">) se explicará el parámetro relacionado con el derecho a ser votado, en su dimensión de acceso y desempeño a la función pública; </w:t>
      </w:r>
      <w:r w:rsidR="00905737" w:rsidRPr="00E51638">
        <w:t xml:space="preserve">finalmente, </w:t>
      </w:r>
      <w:r w:rsidR="00EA17C1" w:rsidRPr="00E51638">
        <w:t>en tercer lugar (</w:t>
      </w:r>
      <w:r w:rsidR="00EA17C1" w:rsidRPr="00E51638">
        <w:rPr>
          <w:b/>
          <w:bCs/>
        </w:rPr>
        <w:t>sub-apartado C</w:t>
      </w:r>
      <w:r w:rsidR="00EA17C1" w:rsidRPr="00E51638">
        <w:t>) se establecerá el parámetro sobre la tutela judicial del derecho de acceso y desempeño de la función parlamentaria</w:t>
      </w:r>
      <w:r w:rsidR="00905737" w:rsidRPr="00E51638">
        <w:t>.</w:t>
      </w:r>
    </w:p>
    <w:p w14:paraId="29760230" w14:textId="17E435BD" w:rsidR="00834BBE" w:rsidRPr="00E51638" w:rsidRDefault="00834BBE" w:rsidP="00CF6E91">
      <w:pPr>
        <w:pStyle w:val="Prrafo"/>
        <w:spacing w:after="0"/>
        <w:outlineLvl w:val="4"/>
        <w:rPr>
          <w:color w:val="000000" w:themeColor="text1"/>
        </w:rPr>
      </w:pPr>
      <w:bookmarkStart w:id="63" w:name="_Toc108556667"/>
      <w:bookmarkStart w:id="64" w:name="_Toc108630504"/>
      <w:bookmarkStart w:id="65" w:name="_Toc108795869"/>
      <w:bookmarkStart w:id="66" w:name="_Toc109004123"/>
      <w:bookmarkStart w:id="67" w:name="_Toc113984441"/>
      <w:r w:rsidRPr="00E51638">
        <w:rPr>
          <w:b/>
          <w:bCs/>
          <w:color w:val="000000" w:themeColor="text1"/>
        </w:rPr>
        <w:t>A.</w:t>
      </w:r>
      <w:r w:rsidRPr="00E51638">
        <w:rPr>
          <w:color w:val="000000" w:themeColor="text1"/>
        </w:rPr>
        <w:t xml:space="preserve"> </w:t>
      </w:r>
      <w:r w:rsidR="008B28AF" w:rsidRPr="00E51638">
        <w:rPr>
          <w:b/>
          <w:color w:val="000000" w:themeColor="text1"/>
        </w:rPr>
        <w:t>Derecho de tutela judicial efectiva y acceso a la justicia.</w:t>
      </w:r>
      <w:bookmarkEnd w:id="63"/>
      <w:bookmarkEnd w:id="64"/>
      <w:bookmarkEnd w:id="65"/>
      <w:bookmarkEnd w:id="66"/>
      <w:bookmarkEnd w:id="67"/>
    </w:p>
    <w:p w14:paraId="2E59E5BB" w14:textId="77777777" w:rsidR="0057623D" w:rsidRPr="00E51638" w:rsidRDefault="008B28AF" w:rsidP="0057623D">
      <w:pPr>
        <w:pStyle w:val="Prrafo"/>
        <w:numPr>
          <w:ilvl w:val="0"/>
          <w:numId w:val="6"/>
        </w:numPr>
        <w:spacing w:after="0"/>
        <w:ind w:left="0" w:hanging="567"/>
        <w:rPr>
          <w:color w:val="000000" w:themeColor="text1"/>
        </w:rPr>
      </w:pPr>
      <w:r w:rsidRPr="00E51638">
        <w:rPr>
          <w:color w:val="000000" w:themeColor="text1"/>
        </w:rPr>
        <w:t>Este Tribunal Pleno ha sostenido en la solicitud de modificación de jurisprudencia 11/2013</w:t>
      </w:r>
      <w:r w:rsidRPr="00E51638">
        <w:rPr>
          <w:color w:val="000000" w:themeColor="text1"/>
          <w:vertAlign w:val="superscript"/>
        </w:rPr>
        <w:footnoteReference w:id="25"/>
      </w:r>
      <w:r w:rsidRPr="00E51638">
        <w:rPr>
          <w:color w:val="000000" w:themeColor="text1"/>
        </w:rPr>
        <w:t xml:space="preserve"> que el derecho de tutela judicial efectiva consiste en la prerrogativa de toda persona de acceder a tribunales independientes e imparciales para plantear una pretensión o defenderse de ella mediante un proceso justo y razonable en el que se respeten los derechos de las partes y que concluya con la emisión de una resolución que dirima el conflicto.</w:t>
      </w:r>
    </w:p>
    <w:p w14:paraId="1A891DF8" w14:textId="77777777" w:rsidR="0057623D" w:rsidRPr="00E51638" w:rsidRDefault="008B28AF" w:rsidP="0057623D">
      <w:pPr>
        <w:pStyle w:val="Prrafo"/>
        <w:numPr>
          <w:ilvl w:val="0"/>
          <w:numId w:val="6"/>
        </w:numPr>
        <w:spacing w:after="0"/>
        <w:ind w:left="0" w:hanging="567"/>
        <w:rPr>
          <w:color w:val="000000" w:themeColor="text1"/>
        </w:rPr>
      </w:pPr>
      <w:r w:rsidRPr="00E51638">
        <w:rPr>
          <w:color w:val="000000" w:themeColor="text1"/>
        </w:rPr>
        <w:t xml:space="preserve">En este sentido, se reiteró que se trata de un derecho complejo que comprende </w:t>
      </w:r>
      <w:r w:rsidRPr="00E51638">
        <w:rPr>
          <w:rFonts w:eastAsia="Calibri"/>
          <w:color w:val="000000" w:themeColor="text1"/>
          <w:lang w:val="es-ES"/>
        </w:rPr>
        <w:t xml:space="preserve">el libre acceso a los órganos jurisdiccionales, el derecho al debido proceso, el derecho a que se dicte una decisión ajustada a la Ley, el derecho a recurrir la decisión y el derecho a la ejecución. </w:t>
      </w:r>
    </w:p>
    <w:p w14:paraId="1F57910C" w14:textId="77777777" w:rsidR="0057623D" w:rsidRPr="00E51638" w:rsidRDefault="008B28AF" w:rsidP="0057623D">
      <w:pPr>
        <w:pStyle w:val="Prrafo"/>
        <w:numPr>
          <w:ilvl w:val="0"/>
          <w:numId w:val="6"/>
        </w:numPr>
        <w:spacing w:after="0"/>
        <w:ind w:left="0" w:hanging="567"/>
        <w:rPr>
          <w:color w:val="000000" w:themeColor="text1"/>
        </w:rPr>
      </w:pPr>
      <w:r w:rsidRPr="00E51638">
        <w:rPr>
          <w:rFonts w:eastAsia="Calibri"/>
          <w:color w:val="000000" w:themeColor="text1"/>
          <w:lang w:val="es-ES"/>
        </w:rPr>
        <w:t>Asimismo, al resolver la contradicción de tesis 35/2005-PL</w:t>
      </w:r>
      <w:r w:rsidRPr="00E51638">
        <w:rPr>
          <w:rStyle w:val="Refdenotaalpie"/>
          <w:rFonts w:eastAsia="Calibri"/>
          <w:color w:val="000000" w:themeColor="text1"/>
          <w:lang w:val="es-ES"/>
        </w:rPr>
        <w:footnoteReference w:id="26"/>
      </w:r>
      <w:r w:rsidRPr="00E51638">
        <w:rPr>
          <w:rFonts w:eastAsia="Calibri"/>
          <w:color w:val="000000" w:themeColor="text1"/>
          <w:lang w:val="es-ES"/>
        </w:rPr>
        <w:t xml:space="preserve">, esta Suprema Corte determinó que el derecho de tutela judicial efectiva es un derecho gradual que </w:t>
      </w:r>
      <w:r w:rsidRPr="00E51638">
        <w:rPr>
          <w:rFonts w:eastAsia="Calibri"/>
          <w:color w:val="000000" w:themeColor="text1"/>
          <w:lang w:val="es-ES"/>
        </w:rPr>
        <w:lastRenderedPageBreak/>
        <w:t>se va perfeccionando mediante el cumplimiento de etapas correlativas que hay que ir superando hasta lograr la tutela eficaz, de modo que las sucesivas etapas en las que este derecho se va gestando y materializando están interconectadas, a su vez, con otros derechos fundamentales, especialmente con los previstos en el artículo 14, segundo párrafo, de la Constitución Federal, que son el derecho de audiencia y el debido proceso.</w:t>
      </w:r>
    </w:p>
    <w:p w14:paraId="6BF8BE7E" w14:textId="77777777" w:rsidR="0057623D" w:rsidRPr="00E51638" w:rsidRDefault="008B28AF" w:rsidP="0057623D">
      <w:pPr>
        <w:pStyle w:val="Prrafo"/>
        <w:numPr>
          <w:ilvl w:val="0"/>
          <w:numId w:val="6"/>
        </w:numPr>
        <w:spacing w:after="0"/>
        <w:ind w:left="0" w:hanging="567"/>
        <w:rPr>
          <w:color w:val="000000" w:themeColor="text1"/>
        </w:rPr>
      </w:pPr>
      <w:r w:rsidRPr="00E51638">
        <w:rPr>
          <w:rFonts w:eastAsia="Calibri"/>
          <w:color w:val="000000" w:themeColor="text1"/>
          <w:lang w:val="es-ES"/>
        </w:rPr>
        <w:t>Desde esta perspectiva, el derecho de acceso a la justicia se circunscribe como el derecho esencial y base que permite la tutela jurisdiccional efectiva en todas sus facetas, lo que caracteriza su importancia y la trascendencia de su protección.</w:t>
      </w:r>
    </w:p>
    <w:p w14:paraId="0EE97015" w14:textId="5663AA79" w:rsidR="0057623D" w:rsidRPr="00E51638" w:rsidRDefault="00EC7C13" w:rsidP="0057623D">
      <w:pPr>
        <w:pStyle w:val="Prrafo"/>
        <w:numPr>
          <w:ilvl w:val="0"/>
          <w:numId w:val="6"/>
        </w:numPr>
        <w:spacing w:after="0"/>
        <w:ind w:left="0" w:hanging="567"/>
        <w:rPr>
          <w:color w:val="000000" w:themeColor="text1"/>
        </w:rPr>
      </w:pPr>
      <w:r w:rsidRPr="00E51638">
        <w:rPr>
          <w:rFonts w:eastAsia="Calibri"/>
          <w:color w:val="000000" w:themeColor="text1"/>
          <w:lang w:val="es-ES"/>
        </w:rPr>
        <w:t>G</w:t>
      </w:r>
      <w:r w:rsidR="008B28AF" w:rsidRPr="00E51638">
        <w:rPr>
          <w:rFonts w:eastAsia="Calibri"/>
          <w:color w:val="000000" w:themeColor="text1"/>
          <w:lang w:val="es-ES"/>
        </w:rPr>
        <w:t xml:space="preserve">arantizar el derecho de acceso a la justicia implica que, bajo los supuestos y parámetros que establezca la ley, los órganos jurisdiccionales deberán movilizar su maquinaria para dar solución al conflicto o cuestión jurídica planteada. </w:t>
      </w:r>
    </w:p>
    <w:p w14:paraId="6CD24C4E" w14:textId="0D4443CB" w:rsidR="008B28AF" w:rsidRPr="00E51638" w:rsidRDefault="008B28AF" w:rsidP="0057623D">
      <w:pPr>
        <w:pStyle w:val="Prrafo"/>
        <w:numPr>
          <w:ilvl w:val="0"/>
          <w:numId w:val="6"/>
        </w:numPr>
        <w:spacing w:after="0"/>
        <w:ind w:left="0" w:hanging="567"/>
        <w:rPr>
          <w:color w:val="000000" w:themeColor="text1"/>
        </w:rPr>
      </w:pPr>
      <w:r w:rsidRPr="00E51638">
        <w:rPr>
          <w:rFonts w:eastAsia="Calibri"/>
          <w:color w:val="000000" w:themeColor="text1"/>
          <w:lang w:val="es-ES"/>
        </w:rPr>
        <w:t>Esto es así, pues el acceso a la justicia es el derecho que toda persona tiene de plantear una pretensión o defenderse de ella ante los tribunales previamente establecidos. El ejercicio de este derecho se tutela en el artículo 17, párrafo segundo, de la Constitución Política de los Estados Unidos Mexicanos que refiere lo siguiente:</w:t>
      </w:r>
    </w:p>
    <w:p w14:paraId="5AC64E69" w14:textId="77777777" w:rsidR="008B28AF" w:rsidRPr="00E51638" w:rsidRDefault="008B28AF" w:rsidP="008B28AF">
      <w:pPr>
        <w:spacing w:line="360" w:lineRule="auto"/>
        <w:ind w:left="709" w:right="760"/>
        <w:rPr>
          <w:rFonts w:eastAsia="Calibri"/>
          <w:b/>
          <w:color w:val="000000" w:themeColor="text1"/>
          <w:sz w:val="26"/>
          <w:szCs w:val="26"/>
          <w:lang w:val="es-ES"/>
        </w:rPr>
      </w:pPr>
    </w:p>
    <w:p w14:paraId="2A0F0BA6" w14:textId="5C3F06CA" w:rsidR="000C7DAC" w:rsidRPr="00E51638" w:rsidRDefault="000C7DAC" w:rsidP="000C7DAC">
      <w:pPr>
        <w:pStyle w:val="corte5transcripcion"/>
        <w:spacing w:line="276" w:lineRule="auto"/>
        <w:rPr>
          <w:rFonts w:eastAsia="Calibri" w:cs="Arial"/>
          <w:b w:val="0"/>
          <w:color w:val="000000" w:themeColor="text1"/>
          <w:sz w:val="24"/>
          <w:szCs w:val="24"/>
          <w:lang w:eastAsia="en-US"/>
        </w:rPr>
      </w:pPr>
      <w:r w:rsidRPr="00E51638">
        <w:rPr>
          <w:rFonts w:eastAsia="Calibri" w:cs="Arial"/>
          <w:b w:val="0"/>
          <w:color w:val="000000" w:themeColor="text1"/>
          <w:sz w:val="24"/>
          <w:szCs w:val="24"/>
          <w:lang w:eastAsia="en-US"/>
        </w:rPr>
        <w:t>“</w:t>
      </w:r>
      <w:r w:rsidRPr="00E51638">
        <w:rPr>
          <w:rFonts w:eastAsia="Calibri" w:cs="Arial"/>
          <w:bCs/>
          <w:color w:val="000000" w:themeColor="text1"/>
          <w:sz w:val="24"/>
          <w:szCs w:val="24"/>
          <w:lang w:eastAsia="en-US"/>
        </w:rPr>
        <w:t>Artículo 17.-</w:t>
      </w:r>
      <w:r w:rsidRPr="00E51638">
        <w:rPr>
          <w:rFonts w:eastAsia="Calibri" w:cs="Arial"/>
          <w:b w:val="0"/>
          <w:color w:val="000000" w:themeColor="text1"/>
          <w:sz w:val="24"/>
          <w:szCs w:val="24"/>
          <w:lang w:eastAsia="en-US"/>
        </w:rPr>
        <w:t xml:space="preserve"> Ninguna persona podrá hacerse justicia por sí misma, ni ejercer violencia para reclamar su derecho.</w:t>
      </w:r>
    </w:p>
    <w:p w14:paraId="65BC4459" w14:textId="77777777" w:rsidR="000C7DAC" w:rsidRPr="00E51638" w:rsidRDefault="000C7DAC" w:rsidP="000C7DAC">
      <w:pPr>
        <w:pStyle w:val="corte5transcripcion"/>
        <w:spacing w:line="276" w:lineRule="auto"/>
        <w:rPr>
          <w:rFonts w:eastAsia="Calibri" w:cs="Arial"/>
          <w:b w:val="0"/>
          <w:color w:val="000000" w:themeColor="text1"/>
          <w:sz w:val="24"/>
          <w:szCs w:val="24"/>
          <w:lang w:eastAsia="en-US"/>
        </w:rPr>
      </w:pPr>
      <w:r w:rsidRPr="00E51638">
        <w:rPr>
          <w:rFonts w:eastAsia="Calibri" w:cs="Arial"/>
          <w:b w:val="0"/>
          <w:color w:val="000000" w:themeColor="text1"/>
          <w:sz w:val="24"/>
          <w:szCs w:val="24"/>
          <w:u w:val="single"/>
          <w:lang w:eastAsia="en-US"/>
        </w:rPr>
        <w:t>Toda persona tiene derecho a que se le administre justicia por tribunales que estarán expeditos para impartirla en los plazos y términos que fijen las leyes, emitiendo sus resoluciones de manera pronta, completa e imparcial</w:t>
      </w:r>
      <w:r w:rsidRPr="00E51638">
        <w:rPr>
          <w:rFonts w:eastAsia="Calibri" w:cs="Arial"/>
          <w:b w:val="0"/>
          <w:color w:val="000000" w:themeColor="text1"/>
          <w:sz w:val="24"/>
          <w:szCs w:val="24"/>
          <w:lang w:eastAsia="en-US"/>
        </w:rPr>
        <w:t>. Su servicio será gratuito, quedando, en consecuencia, prohibidas las costas judiciales.</w:t>
      </w:r>
    </w:p>
    <w:p w14:paraId="453759BA" w14:textId="4013FCE6" w:rsidR="000C7DAC" w:rsidRPr="00E51638" w:rsidRDefault="000C7DAC" w:rsidP="000C7DAC">
      <w:pPr>
        <w:pStyle w:val="corte5transcripcion"/>
        <w:spacing w:line="276" w:lineRule="auto"/>
        <w:rPr>
          <w:rFonts w:eastAsia="Calibri" w:cs="Arial"/>
          <w:b w:val="0"/>
          <w:i w:val="0"/>
          <w:iCs/>
          <w:color w:val="000000" w:themeColor="text1"/>
          <w:sz w:val="24"/>
          <w:szCs w:val="24"/>
          <w:lang w:eastAsia="en-US"/>
        </w:rPr>
      </w:pPr>
      <w:r w:rsidRPr="00E51638">
        <w:rPr>
          <w:rFonts w:eastAsia="Calibri" w:cs="Arial"/>
          <w:b w:val="0"/>
          <w:i w:val="0"/>
          <w:iCs/>
          <w:color w:val="000000" w:themeColor="text1"/>
          <w:sz w:val="24"/>
          <w:szCs w:val="24"/>
          <w:lang w:eastAsia="en-US"/>
        </w:rPr>
        <w:t>(…)</w:t>
      </w:r>
    </w:p>
    <w:p w14:paraId="211A3D39" w14:textId="77777777" w:rsidR="000C7DAC" w:rsidRPr="00E51638" w:rsidRDefault="000C7DAC" w:rsidP="000C7DAC">
      <w:pPr>
        <w:pStyle w:val="corte5transcripcion"/>
        <w:spacing w:line="276" w:lineRule="auto"/>
        <w:rPr>
          <w:rFonts w:eastAsia="Calibri" w:cs="Arial"/>
          <w:b w:val="0"/>
          <w:color w:val="000000" w:themeColor="text1"/>
          <w:sz w:val="24"/>
          <w:szCs w:val="24"/>
          <w:lang w:eastAsia="en-US"/>
        </w:rPr>
      </w:pPr>
      <w:r w:rsidRPr="00E51638">
        <w:rPr>
          <w:rFonts w:eastAsia="Calibri" w:cs="Arial"/>
          <w:b w:val="0"/>
          <w:color w:val="000000" w:themeColor="text1"/>
          <w:sz w:val="24"/>
          <w:szCs w:val="24"/>
          <w:lang w:eastAsia="en-US"/>
        </w:rPr>
        <w:t>Las leyes preverán mecanismos alternativos de solución de controversias. En la materia penal regularán su aplicación, asegurarán la reparación del daño y establecerán los casos en los que se requerirá supervisión judicial.</w:t>
      </w:r>
    </w:p>
    <w:p w14:paraId="7B9365DC" w14:textId="77777777" w:rsidR="000C7DAC" w:rsidRPr="00E51638" w:rsidRDefault="000C7DAC" w:rsidP="000C7DAC">
      <w:pPr>
        <w:pStyle w:val="corte5transcripcion"/>
        <w:spacing w:line="276" w:lineRule="auto"/>
        <w:rPr>
          <w:rFonts w:eastAsia="Calibri" w:cs="Arial"/>
          <w:b w:val="0"/>
          <w:color w:val="000000" w:themeColor="text1"/>
          <w:sz w:val="24"/>
          <w:szCs w:val="24"/>
          <w:lang w:eastAsia="en-US"/>
        </w:rPr>
      </w:pPr>
      <w:r w:rsidRPr="00E51638">
        <w:rPr>
          <w:rFonts w:eastAsia="Calibri" w:cs="Arial"/>
          <w:b w:val="0"/>
          <w:color w:val="000000" w:themeColor="text1"/>
          <w:sz w:val="24"/>
          <w:szCs w:val="24"/>
          <w:lang w:eastAsia="en-US"/>
        </w:rPr>
        <w:t>Las sentencias que pongan fin a los procedimientos orales deberán ser explicadas en audiencia pública previa citación de las partes.</w:t>
      </w:r>
    </w:p>
    <w:p w14:paraId="7FFA0CB7" w14:textId="77777777" w:rsidR="000C7DAC" w:rsidRPr="00E51638" w:rsidRDefault="000C7DAC" w:rsidP="000C7DAC">
      <w:pPr>
        <w:pStyle w:val="corte5transcripcion"/>
        <w:spacing w:line="276" w:lineRule="auto"/>
        <w:rPr>
          <w:rFonts w:eastAsia="Calibri" w:cs="Arial"/>
          <w:b w:val="0"/>
          <w:color w:val="000000" w:themeColor="text1"/>
          <w:sz w:val="24"/>
          <w:szCs w:val="24"/>
          <w:lang w:eastAsia="en-US"/>
        </w:rPr>
      </w:pPr>
      <w:r w:rsidRPr="00E51638">
        <w:rPr>
          <w:rFonts w:eastAsia="Calibri" w:cs="Arial"/>
          <w:b w:val="0"/>
          <w:color w:val="000000" w:themeColor="text1"/>
          <w:sz w:val="24"/>
          <w:szCs w:val="24"/>
          <w:u w:val="single"/>
          <w:lang w:eastAsia="en-US"/>
        </w:rPr>
        <w:lastRenderedPageBreak/>
        <w:t>Las leyes federales y locales establecerán los medios necesarios para que se garantice la independencia de los tribunales y la plena ejecución de sus resoluciones</w:t>
      </w:r>
      <w:r w:rsidRPr="00E51638">
        <w:rPr>
          <w:rFonts w:eastAsia="Calibri" w:cs="Arial"/>
          <w:b w:val="0"/>
          <w:color w:val="000000" w:themeColor="text1"/>
          <w:sz w:val="24"/>
          <w:szCs w:val="24"/>
          <w:lang w:eastAsia="en-US"/>
        </w:rPr>
        <w:t>.</w:t>
      </w:r>
    </w:p>
    <w:p w14:paraId="7FEC93CC" w14:textId="2BDFFC98" w:rsidR="000C7DAC" w:rsidRPr="00E51638" w:rsidRDefault="000C7DAC" w:rsidP="000C7DAC">
      <w:pPr>
        <w:pStyle w:val="corte5transcripcion"/>
        <w:spacing w:line="276" w:lineRule="auto"/>
        <w:rPr>
          <w:rFonts w:eastAsia="Calibri" w:cs="Arial"/>
          <w:b w:val="0"/>
          <w:color w:val="000000" w:themeColor="text1"/>
          <w:sz w:val="24"/>
          <w:szCs w:val="24"/>
          <w:lang w:eastAsia="en-US"/>
        </w:rPr>
      </w:pPr>
      <w:r w:rsidRPr="00E51638">
        <w:rPr>
          <w:rFonts w:eastAsia="Calibri" w:cs="Arial"/>
          <w:b w:val="0"/>
          <w:i w:val="0"/>
          <w:iCs/>
          <w:color w:val="000000" w:themeColor="text1"/>
          <w:sz w:val="24"/>
          <w:szCs w:val="24"/>
          <w:lang w:eastAsia="en-US"/>
        </w:rPr>
        <w:t>(…)</w:t>
      </w:r>
      <w:r w:rsidRPr="00E51638">
        <w:rPr>
          <w:rFonts w:eastAsia="Calibri" w:cs="Arial"/>
          <w:b w:val="0"/>
          <w:color w:val="000000" w:themeColor="text1"/>
          <w:sz w:val="24"/>
          <w:szCs w:val="24"/>
          <w:lang w:eastAsia="en-US"/>
        </w:rPr>
        <w:t>”.</w:t>
      </w:r>
    </w:p>
    <w:p w14:paraId="3E1521E1" w14:textId="77777777" w:rsidR="000C7DAC" w:rsidRPr="00E51638" w:rsidRDefault="008B28AF" w:rsidP="000C7DAC">
      <w:pPr>
        <w:pStyle w:val="Prrafo"/>
        <w:numPr>
          <w:ilvl w:val="0"/>
          <w:numId w:val="6"/>
        </w:numPr>
        <w:spacing w:after="0"/>
        <w:ind w:left="0" w:hanging="567"/>
        <w:rPr>
          <w:rFonts w:eastAsia="Calibri"/>
          <w:color w:val="000000" w:themeColor="text1"/>
          <w:lang w:val="es-ES"/>
        </w:rPr>
      </w:pPr>
      <w:r w:rsidRPr="00E51638">
        <w:rPr>
          <w:rFonts w:eastAsia="Calibri"/>
          <w:color w:val="000000" w:themeColor="text1"/>
          <w:lang w:val="es-ES"/>
        </w:rPr>
        <w:t>Como se puede apreciar, en el artículo 17 constitucional se reconoce el derecho de tutela judicial efectiva y de acceso a la jurisdicción, y se establecen sus elementos y alcances esenciales.</w:t>
      </w:r>
    </w:p>
    <w:p w14:paraId="4EC20A1C" w14:textId="66154554" w:rsidR="000C7DAC" w:rsidRPr="00E51638" w:rsidRDefault="008B28AF" w:rsidP="000C7DAC">
      <w:pPr>
        <w:pStyle w:val="Prrafo"/>
        <w:numPr>
          <w:ilvl w:val="0"/>
          <w:numId w:val="6"/>
        </w:numPr>
        <w:spacing w:after="0"/>
        <w:ind w:left="0" w:hanging="567"/>
        <w:rPr>
          <w:rFonts w:eastAsia="Calibri"/>
          <w:color w:val="000000" w:themeColor="text1"/>
          <w:lang w:val="es-ES"/>
        </w:rPr>
      </w:pPr>
      <w:r w:rsidRPr="00E51638">
        <w:rPr>
          <w:rFonts w:eastAsia="Calibri"/>
          <w:color w:val="000000" w:themeColor="text1"/>
          <w:lang w:val="es-ES"/>
        </w:rPr>
        <w:t xml:space="preserve">De esta manera, en el referido artículo 17 constitucional se establece una prohibición de autotutela y del uso de mecanismos violentos para hacerse justicia por su propia cuenta. En consecuencia, </w:t>
      </w:r>
      <w:r w:rsidRPr="00E51638">
        <w:rPr>
          <w:rFonts w:eastAsia="Calibri"/>
          <w:b/>
          <w:bCs/>
          <w:color w:val="000000" w:themeColor="text1"/>
          <w:u w:val="single"/>
          <w:lang w:val="es-ES"/>
        </w:rPr>
        <w:t>se reconoce un derecho fundamental de acceso a la jurisdicción del Estado para dirimir los conflictos en los que esté involucrada una persona</w:t>
      </w:r>
      <w:r w:rsidR="00D17180" w:rsidRPr="00E51638">
        <w:rPr>
          <w:rFonts w:eastAsia="Calibri"/>
          <w:color w:val="000000" w:themeColor="text1"/>
          <w:lang w:val="es-ES"/>
        </w:rPr>
        <w:t xml:space="preserve">. </w:t>
      </w:r>
      <w:r w:rsidRPr="00E51638">
        <w:rPr>
          <w:rFonts w:eastAsia="Calibri"/>
          <w:color w:val="000000" w:themeColor="text1"/>
          <w:lang w:val="es-ES"/>
        </w:rPr>
        <w:t>En este sentido, se reconocen las siguientes facetas del derecho de tutela judicial efectiva:</w:t>
      </w:r>
    </w:p>
    <w:p w14:paraId="1B75E8E8" w14:textId="77777777" w:rsidR="000C7DAC" w:rsidRPr="00E51638" w:rsidRDefault="008B28AF" w:rsidP="00126D67">
      <w:pPr>
        <w:pStyle w:val="Prrafo"/>
        <w:numPr>
          <w:ilvl w:val="1"/>
          <w:numId w:val="6"/>
        </w:numPr>
        <w:spacing w:after="0"/>
        <w:ind w:left="567"/>
        <w:rPr>
          <w:rFonts w:eastAsia="Calibri"/>
          <w:color w:val="000000" w:themeColor="text1"/>
          <w:lang w:val="es-ES"/>
        </w:rPr>
      </w:pPr>
      <w:r w:rsidRPr="00E51638">
        <w:rPr>
          <w:rFonts w:eastAsia="Calibri"/>
          <w:color w:val="000000" w:themeColor="text1"/>
          <w:lang w:val="es-ES"/>
        </w:rPr>
        <w:t>El derecho de libre acceso a la jurisdicción del Estado, a fin de hacer valer o defender derechos o intereses legítimos.</w:t>
      </w:r>
    </w:p>
    <w:p w14:paraId="37F20063" w14:textId="50E23536" w:rsidR="000C7DAC" w:rsidRPr="00E51638" w:rsidRDefault="008B28AF" w:rsidP="00126D67">
      <w:pPr>
        <w:pStyle w:val="Prrafo"/>
        <w:numPr>
          <w:ilvl w:val="1"/>
          <w:numId w:val="6"/>
        </w:numPr>
        <w:spacing w:after="0"/>
        <w:ind w:left="567"/>
        <w:rPr>
          <w:rFonts w:eastAsia="Calibri"/>
          <w:color w:val="000000" w:themeColor="text1"/>
          <w:lang w:val="es-ES"/>
        </w:rPr>
      </w:pPr>
      <w:r w:rsidRPr="00E51638">
        <w:rPr>
          <w:rFonts w:eastAsia="Calibri"/>
          <w:color w:val="000000" w:themeColor="text1"/>
          <w:lang w:val="es-ES"/>
        </w:rPr>
        <w:t>El derecho de acceso al proceso o juicio que se hallen establecidos en las leyes, los cuales deben ser justos y razonables</w:t>
      </w:r>
      <w:r w:rsidR="002B76E6" w:rsidRPr="00E51638">
        <w:rPr>
          <w:rFonts w:eastAsia="Calibri"/>
          <w:color w:val="000000" w:themeColor="text1"/>
          <w:lang w:val="es-ES"/>
        </w:rPr>
        <w:t>,</w:t>
      </w:r>
      <w:r w:rsidRPr="00E51638">
        <w:rPr>
          <w:rFonts w:eastAsia="Calibri"/>
          <w:color w:val="000000" w:themeColor="text1"/>
          <w:lang w:val="es-ES"/>
        </w:rPr>
        <w:t xml:space="preserve"> para que, por su conducto, el órgano jurisdiccional pueda pronunciarse sobre la cuestión planteada. </w:t>
      </w:r>
    </w:p>
    <w:p w14:paraId="40AFE81D" w14:textId="3095A4C7" w:rsidR="000C7DAC" w:rsidRPr="00E51638" w:rsidRDefault="008B28AF" w:rsidP="00126D67">
      <w:pPr>
        <w:pStyle w:val="Prrafo"/>
        <w:numPr>
          <w:ilvl w:val="1"/>
          <w:numId w:val="6"/>
        </w:numPr>
        <w:spacing w:after="0"/>
        <w:ind w:left="567"/>
        <w:rPr>
          <w:rFonts w:eastAsia="Calibri"/>
          <w:color w:val="000000" w:themeColor="text1"/>
          <w:lang w:val="es-ES"/>
        </w:rPr>
      </w:pPr>
      <w:r w:rsidRPr="00E51638">
        <w:rPr>
          <w:rFonts w:eastAsia="Calibri"/>
          <w:color w:val="000000" w:themeColor="text1"/>
          <w:lang w:val="es-ES"/>
        </w:rPr>
        <w:t xml:space="preserve">El derecho </w:t>
      </w:r>
      <w:r w:rsidR="00AE708A" w:rsidRPr="00E51638">
        <w:rPr>
          <w:rFonts w:eastAsia="Calibri"/>
          <w:color w:val="000000" w:themeColor="text1"/>
          <w:lang w:val="es-ES"/>
        </w:rPr>
        <w:t>a</w:t>
      </w:r>
      <w:r w:rsidRPr="00E51638">
        <w:rPr>
          <w:rFonts w:eastAsia="Calibri"/>
          <w:color w:val="000000" w:themeColor="text1"/>
          <w:lang w:val="es-ES"/>
        </w:rPr>
        <w:t xml:space="preserve"> que mediante configuración legal se establezcan los tribunales competentes para dirimir las controversias, así como</w:t>
      </w:r>
      <w:r w:rsidR="00EA17C1" w:rsidRPr="00E51638">
        <w:rPr>
          <w:rFonts w:eastAsia="Calibri"/>
          <w:color w:val="000000" w:themeColor="text1"/>
          <w:lang w:val="es-ES"/>
        </w:rPr>
        <w:t xml:space="preserve"> a</w:t>
      </w:r>
      <w:r w:rsidRPr="00E51638">
        <w:rPr>
          <w:rFonts w:eastAsia="Calibri"/>
          <w:color w:val="000000" w:themeColor="text1"/>
          <w:lang w:val="es-ES"/>
        </w:rPr>
        <w:t xml:space="preserve"> que quienes los integren sean independientes</w:t>
      </w:r>
      <w:r w:rsidR="002B76E6" w:rsidRPr="00E51638">
        <w:rPr>
          <w:rFonts w:eastAsia="Calibri"/>
          <w:color w:val="000000" w:themeColor="text1"/>
          <w:lang w:val="es-ES"/>
        </w:rPr>
        <w:t>,</w:t>
      </w:r>
      <w:r w:rsidRPr="00E51638">
        <w:rPr>
          <w:rFonts w:eastAsia="Calibri"/>
          <w:color w:val="000000" w:themeColor="text1"/>
          <w:lang w:val="es-ES"/>
        </w:rPr>
        <w:t xml:space="preserve"> esto es, ajenos a toda influencia de otros poderes, e imparciales; es decir, que resuelvan los asuntos con pleno deslinde de los intereses de las partes en contienda.</w:t>
      </w:r>
    </w:p>
    <w:p w14:paraId="56D2EBBD" w14:textId="54F4ABD4" w:rsidR="000C7DAC" w:rsidRPr="00E51638" w:rsidRDefault="008B28AF" w:rsidP="00126D67">
      <w:pPr>
        <w:pStyle w:val="Prrafo"/>
        <w:numPr>
          <w:ilvl w:val="1"/>
          <w:numId w:val="6"/>
        </w:numPr>
        <w:spacing w:after="0"/>
        <w:ind w:left="567"/>
        <w:rPr>
          <w:rFonts w:eastAsia="Calibri"/>
          <w:color w:val="000000" w:themeColor="text1"/>
          <w:lang w:val="es-ES"/>
        </w:rPr>
      </w:pPr>
      <w:r w:rsidRPr="00E51638">
        <w:rPr>
          <w:rFonts w:eastAsia="Calibri"/>
          <w:color w:val="000000" w:themeColor="text1"/>
          <w:lang w:val="es-ES"/>
        </w:rPr>
        <w:t>El derecho a que en la ley se prevean mecanismos que ejecuten lo resuelto por el juez o tribunal</w:t>
      </w:r>
      <w:r w:rsidR="002B76E6" w:rsidRPr="00E51638">
        <w:rPr>
          <w:rFonts w:eastAsia="Calibri"/>
          <w:color w:val="000000" w:themeColor="text1"/>
          <w:lang w:val="es-ES"/>
        </w:rPr>
        <w:t>,</w:t>
      </w:r>
      <w:r w:rsidRPr="00E51638">
        <w:rPr>
          <w:rFonts w:eastAsia="Calibri"/>
          <w:color w:val="000000" w:themeColor="text1"/>
          <w:lang w:val="es-ES"/>
        </w:rPr>
        <w:t xml:space="preserve"> esto es, la efectividad externa de la tutela judicial.</w:t>
      </w:r>
    </w:p>
    <w:p w14:paraId="321B9D99" w14:textId="467F4809" w:rsidR="000C7DAC" w:rsidRPr="00E51638" w:rsidRDefault="008B28AF" w:rsidP="000C7DAC">
      <w:pPr>
        <w:pStyle w:val="Prrafo"/>
        <w:numPr>
          <w:ilvl w:val="0"/>
          <w:numId w:val="6"/>
        </w:numPr>
        <w:spacing w:after="0"/>
        <w:ind w:left="0" w:hanging="567"/>
        <w:rPr>
          <w:rFonts w:eastAsia="Calibri"/>
          <w:color w:val="000000" w:themeColor="text1"/>
          <w:lang w:val="es-ES"/>
        </w:rPr>
      </w:pPr>
      <w:r w:rsidRPr="00E51638">
        <w:rPr>
          <w:color w:val="000000" w:themeColor="text1"/>
        </w:rPr>
        <w:t>E</w:t>
      </w:r>
      <w:r w:rsidR="009E7B41" w:rsidRPr="00E51638">
        <w:rPr>
          <w:color w:val="000000" w:themeColor="text1"/>
        </w:rPr>
        <w:t xml:space="preserve">l </w:t>
      </w:r>
      <w:r w:rsidRPr="00E51638">
        <w:rPr>
          <w:color w:val="000000" w:themeColor="text1"/>
        </w:rPr>
        <w:t xml:space="preserve">derecho a la tutela jurisdiccional se traduce en la obligación del Estado mexicano para garantizar que todas las personas que lo requieran puedan someter sus conflictos a los tribunales en </w:t>
      </w:r>
      <w:r w:rsidRPr="00E51638">
        <w:rPr>
          <w:color w:val="000000" w:themeColor="text1"/>
          <w:u w:val="single"/>
        </w:rPr>
        <w:t>condiciones de equidad</w:t>
      </w:r>
      <w:r w:rsidRPr="00E51638">
        <w:rPr>
          <w:color w:val="000000" w:themeColor="text1"/>
        </w:rPr>
        <w:t xml:space="preserve"> y que las </w:t>
      </w:r>
      <w:r w:rsidRPr="00E51638">
        <w:rPr>
          <w:color w:val="000000" w:themeColor="text1"/>
        </w:rPr>
        <w:lastRenderedPageBreak/>
        <w:t xml:space="preserve">respuestas que obtengan de éstos últimos resuelvan los conflictos en forma </w:t>
      </w:r>
      <w:r w:rsidRPr="00E51638">
        <w:rPr>
          <w:color w:val="000000" w:themeColor="text1"/>
          <w:u w:val="single"/>
        </w:rPr>
        <w:t>efectiva</w:t>
      </w:r>
      <w:r w:rsidRPr="00E51638">
        <w:rPr>
          <w:color w:val="000000" w:themeColor="text1"/>
        </w:rPr>
        <w:t xml:space="preserve"> tanto para los individuos involucrados como para la sociedad en general.</w:t>
      </w:r>
    </w:p>
    <w:p w14:paraId="05F1439D" w14:textId="77777777" w:rsidR="009E7B41" w:rsidRPr="00E51638" w:rsidRDefault="008B28AF" w:rsidP="009E7B41">
      <w:pPr>
        <w:pStyle w:val="Prrafo"/>
        <w:numPr>
          <w:ilvl w:val="0"/>
          <w:numId w:val="6"/>
        </w:numPr>
        <w:spacing w:after="0"/>
        <w:ind w:left="0" w:hanging="567"/>
        <w:rPr>
          <w:color w:val="000000" w:themeColor="text1"/>
        </w:rPr>
      </w:pPr>
      <w:r w:rsidRPr="00E51638">
        <w:rPr>
          <w:color w:val="000000" w:themeColor="text1"/>
        </w:rPr>
        <w:t>En consonancia con lo reconocido en el artículo 17 constitucional, en el numeral 14.1 del Pacto Internacional de Derechos Civiles y Políticos</w:t>
      </w:r>
      <w:r w:rsidR="009E7B41" w:rsidRPr="00E51638">
        <w:rPr>
          <w:rStyle w:val="Refdenotaalpie"/>
          <w:color w:val="000000" w:themeColor="text1"/>
        </w:rPr>
        <w:footnoteReference w:id="27"/>
      </w:r>
      <w:r w:rsidRPr="00E51638">
        <w:rPr>
          <w:color w:val="000000" w:themeColor="text1"/>
        </w:rPr>
        <w:t xml:space="preserve"> se prevé </w:t>
      </w:r>
      <w:r w:rsidR="009E7B41" w:rsidRPr="00E51638">
        <w:rPr>
          <w:color w:val="000000" w:themeColor="text1"/>
        </w:rPr>
        <w:t>un principio de igualdad ante los tribunales, de manera que todas las personas tienen derecho a ser oídas públicamente y con las debidas garantías por un tribunal competente, independiente e imparcial, establecido por la ley.</w:t>
      </w:r>
    </w:p>
    <w:p w14:paraId="776556B2" w14:textId="1384A4BA" w:rsidR="009B1C0F" w:rsidRPr="00E51638" w:rsidRDefault="008B28AF" w:rsidP="009E7B41">
      <w:pPr>
        <w:pStyle w:val="Prrafo"/>
        <w:numPr>
          <w:ilvl w:val="0"/>
          <w:numId w:val="6"/>
        </w:numPr>
        <w:spacing w:after="0"/>
        <w:ind w:left="0" w:hanging="567"/>
        <w:rPr>
          <w:color w:val="000000" w:themeColor="text1"/>
        </w:rPr>
      </w:pPr>
      <w:r w:rsidRPr="00E51638">
        <w:rPr>
          <w:color w:val="000000" w:themeColor="text1"/>
        </w:rPr>
        <w:t>Del mismo modo, los artículos 8.1 y 25.1 de la Convención Americana Sobre Derechos Humanos</w:t>
      </w:r>
      <w:r w:rsidR="009E7B41" w:rsidRPr="00E51638">
        <w:rPr>
          <w:rStyle w:val="Refdenotaalpie"/>
          <w:color w:val="000000" w:themeColor="text1"/>
        </w:rPr>
        <w:footnoteReference w:id="28"/>
      </w:r>
      <w:r w:rsidRPr="00E51638">
        <w:rPr>
          <w:color w:val="000000" w:themeColor="text1"/>
        </w:rPr>
        <w:t xml:space="preserve"> establecen </w:t>
      </w:r>
      <w:r w:rsidR="009B1C0F" w:rsidRPr="00E51638">
        <w:rPr>
          <w:color w:val="000000" w:themeColor="text1"/>
        </w:rPr>
        <w:t>las garantías judiciales y la protección judicial de las personas</w:t>
      </w:r>
      <w:r w:rsidR="00D17180" w:rsidRPr="00E51638">
        <w:rPr>
          <w:color w:val="000000" w:themeColor="text1"/>
        </w:rPr>
        <w:t xml:space="preserve">. </w:t>
      </w:r>
    </w:p>
    <w:p w14:paraId="7B0F5D74" w14:textId="19E7F1D9" w:rsidR="009E7B41" w:rsidRPr="00E51638" w:rsidRDefault="009B1C0F" w:rsidP="009B1C0F">
      <w:pPr>
        <w:pStyle w:val="Prrafo"/>
        <w:numPr>
          <w:ilvl w:val="0"/>
          <w:numId w:val="6"/>
        </w:numPr>
        <w:spacing w:after="0"/>
        <w:ind w:left="0" w:hanging="567"/>
        <w:rPr>
          <w:color w:val="000000" w:themeColor="text1"/>
        </w:rPr>
      </w:pPr>
      <w:r w:rsidRPr="00E51638">
        <w:rPr>
          <w:color w:val="000000" w:themeColor="text1"/>
        </w:rPr>
        <w:t xml:space="preserve">Así, en el artículo 8.1 </w:t>
      </w:r>
      <w:r w:rsidR="00176C19" w:rsidRPr="00E51638">
        <w:rPr>
          <w:color w:val="000000" w:themeColor="text1"/>
        </w:rPr>
        <w:t xml:space="preserve">de la Convención </w:t>
      </w:r>
      <w:r w:rsidRPr="00E51638">
        <w:rPr>
          <w:color w:val="000000" w:themeColor="text1"/>
        </w:rPr>
        <w:t xml:space="preserve">se reconoce </w:t>
      </w:r>
      <w:r w:rsidR="009E7B41" w:rsidRPr="00E51638">
        <w:rPr>
          <w:color w:val="000000" w:themeColor="text1"/>
        </w:rPr>
        <w:t>el derecho de toda persona a ser oída con las debidas garantías y dentro de un plazo razonable, por un juez o tribunal competente, independiente e imparcial</w:t>
      </w:r>
      <w:r w:rsidRPr="00E51638">
        <w:rPr>
          <w:color w:val="000000" w:themeColor="text1"/>
        </w:rPr>
        <w:t xml:space="preserve"> establecido previamente por la Ley; mientras que en el artículo 25 se protege el derecho de toda persona “</w:t>
      </w:r>
      <w:r w:rsidRPr="00E51638">
        <w:rPr>
          <w:i/>
          <w:iCs/>
          <w:color w:val="000000" w:themeColor="text1"/>
        </w:rPr>
        <w:t>a</w:t>
      </w:r>
      <w:r w:rsidR="009E7B41" w:rsidRPr="00E51638">
        <w:rPr>
          <w:i/>
          <w:iCs/>
          <w:color w:val="000000" w:themeColor="text1"/>
        </w:rPr>
        <w:t xml:space="preserve"> un recurso sencillo y rápido o a cualquier otro recurso efectivo ante los jueces o </w:t>
      </w:r>
      <w:r w:rsidR="009E7B41" w:rsidRPr="00E51638">
        <w:rPr>
          <w:i/>
          <w:iCs/>
          <w:color w:val="000000" w:themeColor="text1"/>
        </w:rPr>
        <w:lastRenderedPageBreak/>
        <w:t>tribunales competentes, que la ampare contra actos que violen sus derechos fundamentales reconocidos por la Constitución, la ley o la presente convención</w:t>
      </w:r>
      <w:r w:rsidRPr="00E51638">
        <w:rPr>
          <w:color w:val="000000" w:themeColor="text1"/>
        </w:rPr>
        <w:t>”.</w:t>
      </w:r>
    </w:p>
    <w:p w14:paraId="5CCEB0AB" w14:textId="64418235" w:rsidR="00F008E9" w:rsidRPr="00E51638" w:rsidRDefault="00E75477" w:rsidP="00F008E9">
      <w:pPr>
        <w:pStyle w:val="Prrafo"/>
        <w:numPr>
          <w:ilvl w:val="0"/>
          <w:numId w:val="6"/>
        </w:numPr>
        <w:spacing w:after="0"/>
        <w:ind w:left="0" w:hanging="567"/>
        <w:rPr>
          <w:color w:val="000000" w:themeColor="text1"/>
        </w:rPr>
      </w:pPr>
      <w:r w:rsidRPr="00E51638">
        <w:rPr>
          <w:color w:val="000000" w:themeColor="text1"/>
        </w:rPr>
        <w:t>T</w:t>
      </w:r>
      <w:r w:rsidR="008B28AF" w:rsidRPr="00E51638">
        <w:rPr>
          <w:color w:val="000000" w:themeColor="text1"/>
        </w:rPr>
        <w:t>anto en el artículo 17 de la Constitución General de la República, como en los numerales 14.1 del Pacto Internacional de Derechos Civiles y Políticos, y 8.1 y 25.1 de la Convención Americana sobre Derechos Humanos, se puede esbozar un concepto sobre el derecho de tutela judicial efectiva, que se traduce en la obligación del Estado Mexicano para garantizar que todas las personas que lo requieran puedan someter sus conflictos a los tribunales en condiciones de equidad y que las respuestas que obtengan de éstos últimos resuelvan los conflictos en forma efectiva tanto para los individuos involucrados como para la sociedad en general.</w:t>
      </w:r>
    </w:p>
    <w:p w14:paraId="7058AF03" w14:textId="29D8B48C" w:rsidR="00F008E9" w:rsidRPr="00E51638" w:rsidRDefault="008B28AF" w:rsidP="00F008E9">
      <w:pPr>
        <w:pStyle w:val="Prrafo"/>
        <w:numPr>
          <w:ilvl w:val="0"/>
          <w:numId w:val="6"/>
        </w:numPr>
        <w:spacing w:after="0"/>
        <w:ind w:left="0" w:hanging="567"/>
        <w:rPr>
          <w:color w:val="000000" w:themeColor="text1"/>
        </w:rPr>
      </w:pPr>
      <w:r w:rsidRPr="00E51638">
        <w:rPr>
          <w:rFonts w:eastAsia="Calibri"/>
          <w:color w:val="000000" w:themeColor="text1"/>
          <w:lang w:val="es-ES"/>
        </w:rPr>
        <w:t>En relación con lo anterior, la Corte Interamericana de Derechos Humanos ha considerado que en todo procedimiento o proceso existente en el orden interno de los Estados deben concurrir amplias garantías judiciales, entre las que se encuentra el establecimiento, en normas jurídicas, de las formalidades que deben observarse para garantizar el acceso a cada etapa del proceso.</w:t>
      </w:r>
    </w:p>
    <w:p w14:paraId="4BD65350" w14:textId="1E51E0F1" w:rsidR="00F008E9" w:rsidRPr="00E51638" w:rsidRDefault="00AC5EB2" w:rsidP="00F008E9">
      <w:pPr>
        <w:pStyle w:val="Prrafo"/>
        <w:numPr>
          <w:ilvl w:val="0"/>
          <w:numId w:val="6"/>
        </w:numPr>
        <w:spacing w:after="0"/>
        <w:ind w:left="0" w:hanging="567"/>
        <w:rPr>
          <w:color w:val="000000" w:themeColor="text1"/>
        </w:rPr>
      </w:pPr>
      <w:r w:rsidRPr="00E51638">
        <w:rPr>
          <w:color w:val="000000" w:themeColor="text1"/>
        </w:rPr>
        <w:t>La</w:t>
      </w:r>
      <w:r w:rsidR="008B28AF" w:rsidRPr="00E51638">
        <w:rPr>
          <w:color w:val="000000" w:themeColor="text1"/>
        </w:rPr>
        <w:t xml:space="preserve"> Corte Interamericana de Derechos Humanos ha sostenido en su jurisprudencia que </w:t>
      </w:r>
      <w:r w:rsidR="008B28AF" w:rsidRPr="00E51638">
        <w:rPr>
          <w:b/>
          <w:bCs/>
          <w:color w:val="000000" w:themeColor="text1"/>
          <w:u w:val="single"/>
        </w:rPr>
        <w:t>no basta con la existencia formal de los recursos sino que éstos deben ser eficaces</w:t>
      </w:r>
      <w:r w:rsidR="008B28AF" w:rsidRPr="00E51638">
        <w:rPr>
          <w:color w:val="000000" w:themeColor="text1"/>
        </w:rPr>
        <w:t>, es decir, deben dar resultados o respuestas a las violaciones de derechos</w:t>
      </w:r>
      <w:r w:rsidR="00D17180" w:rsidRPr="00E51638">
        <w:rPr>
          <w:color w:val="000000" w:themeColor="text1"/>
        </w:rPr>
        <w:t xml:space="preserve">. </w:t>
      </w:r>
      <w:r w:rsidR="008B28AF" w:rsidRPr="00E51638">
        <w:rPr>
          <w:color w:val="000000" w:themeColor="text1"/>
        </w:rPr>
        <w:t>En este sentido, no se considera que un recurso es efectivo cuando es ilusorio o porque falten los medios para ejecutar las decisiones del órgano jurisdiccional</w:t>
      </w:r>
      <w:r w:rsidR="008B28AF" w:rsidRPr="00E51638">
        <w:rPr>
          <w:rStyle w:val="Refdenotaalpie"/>
          <w:color w:val="000000" w:themeColor="text1"/>
        </w:rPr>
        <w:footnoteReference w:id="29"/>
      </w:r>
      <w:r w:rsidR="008B28AF" w:rsidRPr="00E51638">
        <w:rPr>
          <w:color w:val="000000" w:themeColor="text1"/>
        </w:rPr>
        <w:t>.</w:t>
      </w:r>
    </w:p>
    <w:p w14:paraId="7ADC3095" w14:textId="1F6C7DB2" w:rsidR="00F008E9" w:rsidRPr="00E51638" w:rsidRDefault="008B28AF" w:rsidP="00F008E9">
      <w:pPr>
        <w:pStyle w:val="Prrafo"/>
        <w:numPr>
          <w:ilvl w:val="0"/>
          <w:numId w:val="6"/>
        </w:numPr>
        <w:spacing w:after="0"/>
        <w:ind w:left="0" w:hanging="567"/>
        <w:rPr>
          <w:color w:val="000000" w:themeColor="text1"/>
        </w:rPr>
      </w:pPr>
      <w:r w:rsidRPr="00E51638">
        <w:rPr>
          <w:color w:val="000000" w:themeColor="text1"/>
        </w:rPr>
        <w:t>Asimismo, la Corte Interamericana ha reconocido que el artículo 25.1 de la Convención incorpora el principio de la efectividad de los instrumentos o mecanismos procesales de protección destinados a garantizar tales derechos</w:t>
      </w:r>
      <w:r w:rsidR="00D17180" w:rsidRPr="00E51638">
        <w:rPr>
          <w:color w:val="000000" w:themeColor="text1"/>
        </w:rPr>
        <w:t xml:space="preserve">. </w:t>
      </w:r>
      <w:r w:rsidRPr="00E51638">
        <w:rPr>
          <w:color w:val="000000" w:themeColor="text1"/>
        </w:rPr>
        <w:t xml:space="preserve">Como ya el Tribunal ha señalado, según la Convención, los Estados partes están obligados a suministrar recursos judiciales efectivos a las víctimas de violación </w:t>
      </w:r>
      <w:r w:rsidRPr="00E51638">
        <w:rPr>
          <w:color w:val="000000" w:themeColor="text1"/>
        </w:rPr>
        <w:lastRenderedPageBreak/>
        <w:t>de derechos humanos, que deben ser sustanciados conforme a las reglas del debido proceso legal</w:t>
      </w:r>
      <w:r w:rsidRPr="00E51638">
        <w:rPr>
          <w:rStyle w:val="Refdenotaalpie"/>
          <w:color w:val="000000" w:themeColor="text1"/>
        </w:rPr>
        <w:footnoteReference w:id="30"/>
      </w:r>
      <w:r w:rsidRPr="00E51638">
        <w:rPr>
          <w:color w:val="000000" w:themeColor="text1"/>
        </w:rPr>
        <w:t>.</w:t>
      </w:r>
    </w:p>
    <w:p w14:paraId="3B7DEFE7" w14:textId="77777777" w:rsidR="00F008E9" w:rsidRPr="00E51638" w:rsidRDefault="008B28AF" w:rsidP="00F008E9">
      <w:pPr>
        <w:pStyle w:val="Prrafo"/>
        <w:numPr>
          <w:ilvl w:val="0"/>
          <w:numId w:val="6"/>
        </w:numPr>
        <w:spacing w:after="0"/>
        <w:ind w:left="0" w:hanging="567"/>
        <w:rPr>
          <w:color w:val="000000" w:themeColor="text1"/>
        </w:rPr>
      </w:pPr>
      <w:r w:rsidRPr="00E51638">
        <w:rPr>
          <w:rFonts w:eastAsia="Calibri"/>
          <w:color w:val="000000" w:themeColor="text1"/>
          <w:lang w:val="es-ES"/>
        </w:rPr>
        <w:t xml:space="preserve">Siguiendo este hilo conductor, se puede sostener que </w:t>
      </w:r>
      <w:r w:rsidRPr="00E51638">
        <w:rPr>
          <w:rFonts w:eastAsia="Calibri"/>
          <w:b/>
          <w:bCs/>
          <w:color w:val="000000" w:themeColor="text1"/>
          <w:u w:val="single"/>
          <w:lang w:val="es-ES"/>
        </w:rPr>
        <w:t>el derecho fundamental de acceso a la justicia conlleva para los órganos jurisdiccionales, el deber de garantizar la efectividad de los recursos o medios de defensa previstos en la Constitución y en la ley, motivo por el cual, deben abstenerse de condicionar su procedencia a requisitos o formalismos técnicos que resulten excesivos o carentes de razonabilidad</w:t>
      </w:r>
      <w:r w:rsidRPr="00E51638">
        <w:rPr>
          <w:rFonts w:eastAsia="Calibri"/>
          <w:color w:val="000000" w:themeColor="text1"/>
          <w:lang w:val="es-ES"/>
        </w:rPr>
        <w:t xml:space="preserve"> respecto del fin legítimo que se persigue con la exigencia constitucional de establecer parámetros en la ley para el ejercicio de los derechos de acción y defensa, los cuales deben ser generales, razonables y objetivos. </w:t>
      </w:r>
    </w:p>
    <w:p w14:paraId="6C8B46CB" w14:textId="77777777" w:rsidR="00F008E9" w:rsidRPr="00E51638" w:rsidRDefault="008B28AF" w:rsidP="00F008E9">
      <w:pPr>
        <w:pStyle w:val="Prrafo"/>
        <w:numPr>
          <w:ilvl w:val="0"/>
          <w:numId w:val="6"/>
        </w:numPr>
        <w:spacing w:after="0"/>
        <w:ind w:left="0" w:hanging="567"/>
        <w:rPr>
          <w:color w:val="000000" w:themeColor="text1"/>
        </w:rPr>
      </w:pPr>
      <w:r w:rsidRPr="00E51638">
        <w:rPr>
          <w:color w:val="000000" w:themeColor="text1"/>
          <w:lang w:val="es-ES"/>
        </w:rPr>
        <w:t>Además, debe tenerse presente que para una debida protección de</w:t>
      </w:r>
      <w:r w:rsidRPr="00E51638">
        <w:rPr>
          <w:color w:val="000000" w:themeColor="text1"/>
        </w:rPr>
        <w:t xml:space="preserve">l derecho de tutela judicial efectiva, </w:t>
      </w:r>
      <w:r w:rsidRPr="00E51638">
        <w:rPr>
          <w:b/>
          <w:bCs/>
          <w:color w:val="000000" w:themeColor="text1"/>
        </w:rPr>
        <w:t>no basta con eliminar requisitos excesivos o carentes de razonabilidad</w:t>
      </w:r>
      <w:r w:rsidRPr="00E51638">
        <w:rPr>
          <w:color w:val="000000" w:themeColor="text1"/>
        </w:rPr>
        <w:t xml:space="preserve">, sino que, como lo dispone el artículo 25.1 de la Convención Americana sobre Derechos Humanos, a que se ha hecho referencia, </w:t>
      </w:r>
      <w:r w:rsidRPr="00E51638">
        <w:rPr>
          <w:b/>
          <w:bCs/>
          <w:color w:val="000000" w:themeColor="text1"/>
          <w:u w:val="single"/>
        </w:rPr>
        <w:t>también se requiere que exista un recurso sencillo, rápido y efectivo</w:t>
      </w:r>
      <w:r w:rsidRPr="00E51638">
        <w:rPr>
          <w:color w:val="000000" w:themeColor="text1"/>
        </w:rPr>
        <w:t xml:space="preserve"> (en el sentido de que permita la protección de derechos humanos).</w:t>
      </w:r>
    </w:p>
    <w:p w14:paraId="2A1AC2B7" w14:textId="1D2B98BC" w:rsidR="00020FAA" w:rsidRPr="00E51638" w:rsidRDefault="008B28AF" w:rsidP="00F008E9">
      <w:pPr>
        <w:pStyle w:val="Prrafo"/>
        <w:numPr>
          <w:ilvl w:val="0"/>
          <w:numId w:val="6"/>
        </w:numPr>
        <w:spacing w:after="0"/>
        <w:ind w:left="0" w:hanging="567"/>
        <w:rPr>
          <w:color w:val="000000" w:themeColor="text1"/>
        </w:rPr>
      </w:pPr>
      <w:r w:rsidRPr="00E51638">
        <w:rPr>
          <w:color w:val="000000" w:themeColor="text1"/>
        </w:rPr>
        <w:t xml:space="preserve">Sobre este tema, resulta importante acudir a lo resuelto por la Corte Interamericana en el </w:t>
      </w:r>
      <w:r w:rsidRPr="00E51638">
        <w:rPr>
          <w:i/>
          <w:color w:val="000000" w:themeColor="text1"/>
        </w:rPr>
        <w:t>Caso Castañeda Gutman vs México</w:t>
      </w:r>
      <w:r w:rsidR="00E75477" w:rsidRPr="00E51638">
        <w:rPr>
          <w:rStyle w:val="Refdenotaalpie"/>
          <w:iCs/>
          <w:color w:val="000000" w:themeColor="text1"/>
        </w:rPr>
        <w:footnoteReference w:id="31"/>
      </w:r>
      <w:r w:rsidRPr="00E51638">
        <w:rPr>
          <w:iCs/>
          <w:color w:val="000000" w:themeColor="text1"/>
        </w:rPr>
        <w:t>,</w:t>
      </w:r>
      <w:r w:rsidRPr="00E51638">
        <w:rPr>
          <w:color w:val="000000" w:themeColor="text1"/>
        </w:rPr>
        <w:t xml:space="preserve"> </w:t>
      </w:r>
      <w:r w:rsidR="00020FAA" w:rsidRPr="00E51638">
        <w:rPr>
          <w:color w:val="000000" w:themeColor="text1"/>
        </w:rPr>
        <w:t>en el que se condenó al Estado Mexicano por no contar con un mecanismo real y efectivo de protección de los derechos políticos de la ciudadanía.</w:t>
      </w:r>
    </w:p>
    <w:p w14:paraId="0779801D" w14:textId="103337F1" w:rsidR="008D3C7C" w:rsidRPr="00E51638" w:rsidRDefault="004A55A1" w:rsidP="008D3C7C">
      <w:pPr>
        <w:pStyle w:val="Prrafo"/>
        <w:numPr>
          <w:ilvl w:val="0"/>
          <w:numId w:val="6"/>
        </w:numPr>
        <w:spacing w:after="0"/>
        <w:ind w:left="0" w:hanging="567"/>
        <w:rPr>
          <w:color w:val="000000" w:themeColor="text1"/>
        </w:rPr>
      </w:pPr>
      <w:r w:rsidRPr="00E51638">
        <w:rPr>
          <w:color w:val="000000" w:themeColor="text1"/>
        </w:rPr>
        <w:t xml:space="preserve">En esa sentencia, la Corte </w:t>
      </w:r>
      <w:r w:rsidR="008D3C7C" w:rsidRPr="00E51638">
        <w:rPr>
          <w:color w:val="000000" w:themeColor="text1"/>
        </w:rPr>
        <w:t>Interamericana</w:t>
      </w:r>
      <w:r w:rsidRPr="00E51638">
        <w:rPr>
          <w:color w:val="000000" w:themeColor="text1"/>
        </w:rPr>
        <w:t xml:space="preserve"> analizó dos líneas argumentativas: por un lado, la violación del derecho a la protección judicial de</w:t>
      </w:r>
      <w:r w:rsidR="008D3C7C" w:rsidRPr="00E51638">
        <w:rPr>
          <w:color w:val="000000" w:themeColor="text1"/>
        </w:rPr>
        <w:t>l peticionario</w:t>
      </w:r>
      <w:r w:rsidRPr="00E51638">
        <w:rPr>
          <w:color w:val="000000" w:themeColor="text1"/>
        </w:rPr>
        <w:t xml:space="preserve"> (artículo 25 en relación con los </w:t>
      </w:r>
      <w:r w:rsidR="009C6167">
        <w:rPr>
          <w:color w:val="000000" w:themeColor="text1"/>
        </w:rPr>
        <w:t>diversos</w:t>
      </w:r>
      <w:r w:rsidRPr="00E51638">
        <w:rPr>
          <w:color w:val="000000" w:themeColor="text1"/>
        </w:rPr>
        <w:t xml:space="preserve"> 1.1 y 2 de la Convención Americana); y por el otro lado, la supuesta vulneración de los derechos políticos de ser votado </w:t>
      </w:r>
      <w:r w:rsidRPr="00E51638">
        <w:rPr>
          <w:color w:val="000000" w:themeColor="text1"/>
        </w:rPr>
        <w:lastRenderedPageBreak/>
        <w:t xml:space="preserve">(artículo 23 de la Convención). De esta forma, en lo que es materia del presente </w:t>
      </w:r>
      <w:r w:rsidR="008D3C7C" w:rsidRPr="00E51638">
        <w:rPr>
          <w:color w:val="000000" w:themeColor="text1"/>
        </w:rPr>
        <w:t>tema</w:t>
      </w:r>
      <w:r w:rsidRPr="00E51638">
        <w:rPr>
          <w:color w:val="000000" w:themeColor="text1"/>
        </w:rPr>
        <w:t xml:space="preserve"> únicamente interesa el primero de los </w:t>
      </w:r>
      <w:r w:rsidR="008D3C7C" w:rsidRPr="00E51638">
        <w:rPr>
          <w:color w:val="000000" w:themeColor="text1"/>
        </w:rPr>
        <w:t>argumentos</w:t>
      </w:r>
      <w:r w:rsidRPr="00E51638">
        <w:rPr>
          <w:color w:val="000000" w:themeColor="text1"/>
        </w:rPr>
        <w:t xml:space="preserve">. </w:t>
      </w:r>
    </w:p>
    <w:p w14:paraId="2935D3A5" w14:textId="6360DB49" w:rsidR="008D3C7C" w:rsidRPr="00E51638" w:rsidRDefault="009217A0" w:rsidP="008D3C7C">
      <w:pPr>
        <w:pStyle w:val="Prrafo"/>
        <w:numPr>
          <w:ilvl w:val="0"/>
          <w:numId w:val="6"/>
        </w:numPr>
        <w:spacing w:after="0"/>
        <w:ind w:left="0" w:hanging="567"/>
        <w:rPr>
          <w:color w:val="000000" w:themeColor="text1"/>
        </w:rPr>
      </w:pPr>
      <w:r w:rsidRPr="00E51638">
        <w:rPr>
          <w:color w:val="000000" w:themeColor="text1"/>
        </w:rPr>
        <w:t>L</w:t>
      </w:r>
      <w:r w:rsidR="004A55A1" w:rsidRPr="00E51638">
        <w:rPr>
          <w:color w:val="000000" w:themeColor="text1"/>
        </w:rPr>
        <w:t xml:space="preserve">a Corte Interamericana estimó la pretensión del peticionario y de la Comisión Interamericana respecto a la falta de un recurso sencillo, rápido y efectivo para que </w:t>
      </w:r>
      <w:r w:rsidRPr="00E51638">
        <w:rPr>
          <w:color w:val="000000" w:themeColor="text1"/>
        </w:rPr>
        <w:t>el solicitante</w:t>
      </w:r>
      <w:r w:rsidR="004A55A1" w:rsidRPr="00E51638">
        <w:rPr>
          <w:color w:val="000000" w:themeColor="text1"/>
        </w:rPr>
        <w:t xml:space="preserve"> reclamara la protección de sus derechos reconocidos por la Constitución mexicana.</w:t>
      </w:r>
    </w:p>
    <w:p w14:paraId="05AC0751" w14:textId="4BF9B073" w:rsidR="0062332F" w:rsidRPr="00E51638" w:rsidRDefault="004A55A1" w:rsidP="008D3C7C">
      <w:pPr>
        <w:pStyle w:val="Prrafo"/>
        <w:numPr>
          <w:ilvl w:val="0"/>
          <w:numId w:val="6"/>
        </w:numPr>
        <w:spacing w:after="0"/>
        <w:ind w:left="0" w:hanging="567"/>
        <w:rPr>
          <w:color w:val="000000" w:themeColor="text1"/>
        </w:rPr>
      </w:pPr>
      <w:r w:rsidRPr="00E51638">
        <w:rPr>
          <w:color w:val="000000" w:themeColor="text1"/>
        </w:rPr>
        <w:t xml:space="preserve">El Tribunal </w:t>
      </w:r>
      <w:r w:rsidR="009217A0" w:rsidRPr="00E51638">
        <w:rPr>
          <w:color w:val="000000" w:themeColor="text1"/>
        </w:rPr>
        <w:t xml:space="preserve">supranacional </w:t>
      </w:r>
      <w:r w:rsidRPr="00E51638">
        <w:rPr>
          <w:color w:val="000000" w:themeColor="text1"/>
        </w:rPr>
        <w:t>consideró que el sentido de</w:t>
      </w:r>
      <w:r w:rsidR="00221699" w:rsidRPr="00E51638">
        <w:rPr>
          <w:color w:val="000000" w:themeColor="text1"/>
        </w:rPr>
        <w:t xml:space="preserve"> la</w:t>
      </w:r>
      <w:r w:rsidRPr="00E51638">
        <w:rPr>
          <w:color w:val="000000" w:themeColor="text1"/>
        </w:rPr>
        <w:t xml:space="preserve"> protección otorgada por el artículo 25 de</w:t>
      </w:r>
      <w:r w:rsidR="008D3C7C" w:rsidRPr="00E51638">
        <w:rPr>
          <w:color w:val="000000" w:themeColor="text1"/>
        </w:rPr>
        <w:t xml:space="preserve"> la Convención </w:t>
      </w:r>
      <w:r w:rsidRPr="00E51638">
        <w:rPr>
          <w:color w:val="000000" w:themeColor="text1"/>
        </w:rPr>
        <w:t xml:space="preserve">es la posibilidad real de acceder a un recurso judicial para que la autoridad competente y capaz de emitir una decisión vinculante determine si ha habido o no una violación a algún derecho que la persona estima tener, y que en caso de ser encontrada una violación, el recurso sea útil para restituir al interesado en el goce de su derecho y repararlo. </w:t>
      </w:r>
    </w:p>
    <w:p w14:paraId="777C030C" w14:textId="026C0943" w:rsidR="008D3C7C" w:rsidRPr="00E51638" w:rsidRDefault="004A55A1" w:rsidP="008D3C7C">
      <w:pPr>
        <w:pStyle w:val="Prrafo"/>
        <w:numPr>
          <w:ilvl w:val="0"/>
          <w:numId w:val="6"/>
        </w:numPr>
        <w:spacing w:after="0"/>
        <w:ind w:left="0" w:hanging="567"/>
        <w:rPr>
          <w:color w:val="000000" w:themeColor="text1"/>
        </w:rPr>
      </w:pPr>
      <w:r w:rsidRPr="00E51638">
        <w:rPr>
          <w:color w:val="000000" w:themeColor="text1"/>
        </w:rPr>
        <w:t>Por ello, independientemente de si la autoridad judicial declara fundado o infundado el reclamo, el Estado está obligado a proveer recursos efectivos que permitan a las personas impugnar aquellos actos de autoridad que consideren violatorios de sus derechos humanos previstos en la convención, la Constitución o las leyes.</w:t>
      </w:r>
    </w:p>
    <w:p w14:paraId="696EB108" w14:textId="77777777" w:rsidR="008D3C7C" w:rsidRPr="00E51638" w:rsidRDefault="004A55A1" w:rsidP="008D3C7C">
      <w:pPr>
        <w:pStyle w:val="Prrafo"/>
        <w:numPr>
          <w:ilvl w:val="0"/>
          <w:numId w:val="6"/>
        </w:numPr>
        <w:spacing w:after="0"/>
        <w:ind w:left="0" w:hanging="567"/>
        <w:rPr>
          <w:color w:val="000000" w:themeColor="text1"/>
        </w:rPr>
      </w:pPr>
      <w:r w:rsidRPr="00E51638">
        <w:rPr>
          <w:color w:val="000000" w:themeColor="text1"/>
        </w:rPr>
        <w:t xml:space="preserve">En ese orden de ideas, la Corte </w:t>
      </w:r>
      <w:r w:rsidR="008D3C7C" w:rsidRPr="00E51638">
        <w:rPr>
          <w:color w:val="000000" w:themeColor="text1"/>
        </w:rPr>
        <w:t>Interamericana de Derechos Humanos</w:t>
      </w:r>
      <w:r w:rsidRPr="00E51638">
        <w:rPr>
          <w:color w:val="000000" w:themeColor="text1"/>
        </w:rPr>
        <w:t xml:space="preserve"> </w:t>
      </w:r>
      <w:r w:rsidR="008D3C7C" w:rsidRPr="00E51638">
        <w:rPr>
          <w:color w:val="000000" w:themeColor="text1"/>
        </w:rPr>
        <w:t xml:space="preserve">analizó </w:t>
      </w:r>
      <w:r w:rsidRPr="00E51638">
        <w:rPr>
          <w:color w:val="000000" w:themeColor="text1"/>
        </w:rPr>
        <w:t>la accesibilidad y la efectividad del recurso.</w:t>
      </w:r>
    </w:p>
    <w:p w14:paraId="4CC170E5" w14:textId="5DEE3439" w:rsidR="004A55A1" w:rsidRPr="00E51638" w:rsidRDefault="004A55A1" w:rsidP="008D3C7C">
      <w:pPr>
        <w:pStyle w:val="Prrafo"/>
        <w:numPr>
          <w:ilvl w:val="0"/>
          <w:numId w:val="6"/>
        </w:numPr>
        <w:spacing w:after="0"/>
        <w:ind w:left="0" w:hanging="567"/>
        <w:rPr>
          <w:color w:val="000000" w:themeColor="text1"/>
        </w:rPr>
      </w:pPr>
      <w:r w:rsidRPr="00E51638">
        <w:rPr>
          <w:color w:val="000000" w:themeColor="text1"/>
        </w:rPr>
        <w:t xml:space="preserve">Respecto de la accesibilidad del recurso, </w:t>
      </w:r>
      <w:r w:rsidR="008D3C7C" w:rsidRPr="00E51638">
        <w:rPr>
          <w:color w:val="000000" w:themeColor="text1"/>
        </w:rPr>
        <w:t>la Corte Interamericana</w:t>
      </w:r>
      <w:r w:rsidRPr="00E51638">
        <w:rPr>
          <w:color w:val="000000" w:themeColor="text1"/>
        </w:rPr>
        <w:t xml:space="preserve"> sostuvo que </w:t>
      </w:r>
      <w:r w:rsidRPr="00E51638">
        <w:rPr>
          <w:b/>
          <w:bCs/>
          <w:color w:val="000000" w:themeColor="text1"/>
        </w:rPr>
        <w:t xml:space="preserve">los Estados deben </w:t>
      </w:r>
      <w:r w:rsidR="0062332F" w:rsidRPr="00E51638">
        <w:rPr>
          <w:b/>
          <w:bCs/>
          <w:color w:val="000000" w:themeColor="text1"/>
        </w:rPr>
        <w:t xml:space="preserve">contar con </w:t>
      </w:r>
      <w:r w:rsidRPr="00E51638">
        <w:rPr>
          <w:b/>
          <w:bCs/>
          <w:color w:val="000000" w:themeColor="text1"/>
        </w:rPr>
        <w:t>recursos accesibles a toda persona para la protección de sus derechos</w:t>
      </w:r>
      <w:r w:rsidRPr="00E51638">
        <w:rPr>
          <w:color w:val="000000" w:themeColor="text1"/>
        </w:rPr>
        <w:t xml:space="preserve">. En </w:t>
      </w:r>
      <w:r w:rsidR="008D3C7C" w:rsidRPr="00E51638">
        <w:rPr>
          <w:color w:val="000000" w:themeColor="text1"/>
        </w:rPr>
        <w:t>ese caso</w:t>
      </w:r>
      <w:r w:rsidRPr="00E51638">
        <w:rPr>
          <w:color w:val="000000" w:themeColor="text1"/>
        </w:rPr>
        <w:t xml:space="preserve">, </w:t>
      </w:r>
      <w:r w:rsidR="008D3C7C" w:rsidRPr="00E51638">
        <w:rPr>
          <w:color w:val="000000" w:themeColor="text1"/>
        </w:rPr>
        <w:t>el peticionario</w:t>
      </w:r>
      <w:r w:rsidRPr="00E51638">
        <w:rPr>
          <w:color w:val="000000" w:themeColor="text1"/>
        </w:rPr>
        <w:t xml:space="preserve"> reclamó una violación a su derecho político de ser </w:t>
      </w:r>
      <w:r w:rsidR="0062332F" w:rsidRPr="00E51638">
        <w:rPr>
          <w:color w:val="000000" w:themeColor="text1"/>
        </w:rPr>
        <w:t>votado</w:t>
      </w:r>
      <w:r w:rsidRPr="00E51638">
        <w:rPr>
          <w:color w:val="000000" w:themeColor="text1"/>
        </w:rPr>
        <w:t xml:space="preserve">, en virtud de que una ley de carácter electoral imponía como requisito para ser candidato, el ser postulado </w:t>
      </w:r>
      <w:r w:rsidR="00221961" w:rsidRPr="00E51638">
        <w:rPr>
          <w:color w:val="000000" w:themeColor="text1"/>
        </w:rPr>
        <w:t xml:space="preserve">exclusivamente </w:t>
      </w:r>
      <w:r w:rsidRPr="00E51638">
        <w:rPr>
          <w:color w:val="000000" w:themeColor="text1"/>
        </w:rPr>
        <w:t>por un partido político</w:t>
      </w:r>
      <w:r w:rsidR="00221961" w:rsidRPr="00E51638">
        <w:rPr>
          <w:color w:val="000000" w:themeColor="text1"/>
        </w:rPr>
        <w:t xml:space="preserve"> (sin permitir candidaturas independientes)</w:t>
      </w:r>
      <w:r w:rsidRPr="00E51638">
        <w:rPr>
          <w:color w:val="000000" w:themeColor="text1"/>
        </w:rPr>
        <w:t xml:space="preserve">. De esta forma, si el juicio de amparo </w:t>
      </w:r>
      <w:r w:rsidR="008D3C7C" w:rsidRPr="00E51638">
        <w:rPr>
          <w:color w:val="000000" w:themeColor="text1"/>
        </w:rPr>
        <w:t>era</w:t>
      </w:r>
      <w:r w:rsidRPr="00E51638">
        <w:rPr>
          <w:color w:val="000000" w:themeColor="text1"/>
        </w:rPr>
        <w:t xml:space="preserve"> un recurso improcedente en virtud de la materia, y la acción de inconstitucionalidad tampoco </w:t>
      </w:r>
      <w:r w:rsidR="008D3C7C" w:rsidRPr="00E51638">
        <w:rPr>
          <w:color w:val="000000" w:themeColor="text1"/>
        </w:rPr>
        <w:t>estaba</w:t>
      </w:r>
      <w:r w:rsidRPr="00E51638">
        <w:rPr>
          <w:color w:val="000000" w:themeColor="text1"/>
        </w:rPr>
        <w:t xml:space="preserve"> disponible para un particular pues se trata de un recurso extraordinario que se encuentra limitado en su legitimación activa a una lista cerrada de entes, era evidente que </w:t>
      </w:r>
      <w:r w:rsidR="008D3C7C" w:rsidRPr="00E51638">
        <w:rPr>
          <w:b/>
          <w:bCs/>
          <w:color w:val="000000" w:themeColor="text1"/>
        </w:rPr>
        <w:t xml:space="preserve">la jurisdicción </w:t>
      </w:r>
      <w:r w:rsidR="008D3C7C" w:rsidRPr="00E51638">
        <w:rPr>
          <w:b/>
          <w:bCs/>
          <w:color w:val="000000" w:themeColor="text1"/>
        </w:rPr>
        <w:lastRenderedPageBreak/>
        <w:t xml:space="preserve">constitucional mexicana </w:t>
      </w:r>
      <w:r w:rsidRPr="00E51638">
        <w:rPr>
          <w:b/>
          <w:bCs/>
          <w:color w:val="000000" w:themeColor="text1"/>
        </w:rPr>
        <w:t xml:space="preserve">no ofrecía una protección a los derechos </w:t>
      </w:r>
      <w:r w:rsidR="008D3C7C" w:rsidRPr="00E51638">
        <w:rPr>
          <w:b/>
          <w:bCs/>
          <w:color w:val="000000" w:themeColor="text1"/>
        </w:rPr>
        <w:t>político-electorales del peticionario</w:t>
      </w:r>
      <w:r w:rsidR="008D3C7C" w:rsidRPr="00E51638">
        <w:rPr>
          <w:color w:val="000000" w:themeColor="text1"/>
        </w:rPr>
        <w:t>.</w:t>
      </w:r>
    </w:p>
    <w:p w14:paraId="1F65B09B" w14:textId="643956C4" w:rsidR="004A55A1" w:rsidRPr="00E51638" w:rsidRDefault="008D3C7C" w:rsidP="008D3C7C">
      <w:pPr>
        <w:pStyle w:val="Prrafo"/>
        <w:numPr>
          <w:ilvl w:val="0"/>
          <w:numId w:val="6"/>
        </w:numPr>
        <w:spacing w:after="0"/>
        <w:ind w:left="0" w:hanging="567"/>
        <w:rPr>
          <w:color w:val="000000" w:themeColor="text1"/>
        </w:rPr>
      </w:pPr>
      <w:r w:rsidRPr="00E51638">
        <w:rPr>
          <w:color w:val="000000" w:themeColor="text1"/>
        </w:rPr>
        <w:t xml:space="preserve">Más adelante, al analizar los alcances de la jurisdicción del Tribunal Electoral del Poder Judicial de la Federación, la Corte Interamericana reconoció la existencia </w:t>
      </w:r>
      <w:r w:rsidR="00813ECC" w:rsidRPr="00E51638">
        <w:rPr>
          <w:color w:val="000000" w:themeColor="text1"/>
        </w:rPr>
        <w:t xml:space="preserve">de </w:t>
      </w:r>
      <w:r w:rsidR="004A55A1" w:rsidRPr="00E51638">
        <w:rPr>
          <w:color w:val="000000" w:themeColor="text1"/>
        </w:rPr>
        <w:t xml:space="preserve">un recurso de tutela para los derechos políticos denominado </w:t>
      </w:r>
      <w:r w:rsidRPr="00E51638">
        <w:rPr>
          <w:color w:val="000000" w:themeColor="text1"/>
        </w:rPr>
        <w:t>“</w:t>
      </w:r>
      <w:r w:rsidR="004A55A1" w:rsidRPr="00E51638">
        <w:rPr>
          <w:i/>
          <w:iCs/>
          <w:color w:val="000000" w:themeColor="text1"/>
        </w:rPr>
        <w:t>juicio para la protección de los derechos político-electorales del ciudadano</w:t>
      </w:r>
      <w:r w:rsidRPr="00E51638">
        <w:rPr>
          <w:color w:val="000000" w:themeColor="text1"/>
        </w:rPr>
        <w:t>”</w:t>
      </w:r>
      <w:r w:rsidR="004A55A1" w:rsidRPr="00E51638">
        <w:rPr>
          <w:color w:val="000000" w:themeColor="text1"/>
        </w:rPr>
        <w:t xml:space="preserve">. Dicho recurso permite a </w:t>
      </w:r>
      <w:r w:rsidR="003C7AFE" w:rsidRPr="00E51638">
        <w:rPr>
          <w:color w:val="000000" w:themeColor="text1"/>
        </w:rPr>
        <w:t>la ciudadanía</w:t>
      </w:r>
      <w:r w:rsidR="004A55A1" w:rsidRPr="00E51638">
        <w:rPr>
          <w:color w:val="000000" w:themeColor="text1"/>
        </w:rPr>
        <w:t xml:space="preserve"> alegar la violación a sus derechos políticos</w:t>
      </w:r>
      <w:r w:rsidR="003C7AFE" w:rsidRPr="00E51638">
        <w:rPr>
          <w:color w:val="000000" w:themeColor="text1"/>
        </w:rPr>
        <w:t>, por lo que la Corte Interamericana estimó</w:t>
      </w:r>
      <w:r w:rsidR="00813ECC" w:rsidRPr="00E51638">
        <w:rPr>
          <w:color w:val="000000" w:themeColor="text1"/>
        </w:rPr>
        <w:t xml:space="preserve"> que</w:t>
      </w:r>
      <w:r w:rsidR="003C7AFE" w:rsidRPr="00E51638">
        <w:rPr>
          <w:color w:val="000000" w:themeColor="text1"/>
        </w:rPr>
        <w:t xml:space="preserve"> </w:t>
      </w:r>
      <w:r w:rsidR="004A55A1" w:rsidRPr="00E51638">
        <w:rPr>
          <w:color w:val="000000" w:themeColor="text1"/>
        </w:rPr>
        <w:t>sí existe un acceso al recurso</w:t>
      </w:r>
      <w:r w:rsidR="003C7AFE" w:rsidRPr="00E51638">
        <w:rPr>
          <w:color w:val="000000" w:themeColor="text1"/>
        </w:rPr>
        <w:t>;</w:t>
      </w:r>
      <w:r w:rsidR="004A55A1" w:rsidRPr="00E51638">
        <w:rPr>
          <w:color w:val="000000" w:themeColor="text1"/>
        </w:rPr>
        <w:t xml:space="preserve"> sin embargo</w:t>
      </w:r>
      <w:r w:rsidR="003C7AFE" w:rsidRPr="00E51638">
        <w:rPr>
          <w:color w:val="000000" w:themeColor="text1"/>
        </w:rPr>
        <w:t xml:space="preserve">, consideró que </w:t>
      </w:r>
      <w:r w:rsidR="0062332F" w:rsidRPr="00E51638">
        <w:rPr>
          <w:color w:val="000000" w:themeColor="text1"/>
        </w:rPr>
        <w:t>con la redacción vigente al momento de los hechos</w:t>
      </w:r>
      <w:r w:rsidR="00AE741C" w:rsidRPr="00E51638">
        <w:rPr>
          <w:color w:val="000000" w:themeColor="text1"/>
        </w:rPr>
        <w:t xml:space="preserve"> (y antes de la reforma constitucional de dos mil siete) </w:t>
      </w:r>
      <w:r w:rsidR="003C7AFE" w:rsidRPr="00E51638">
        <w:rPr>
          <w:color w:val="000000" w:themeColor="text1"/>
        </w:rPr>
        <w:t>no era un recurso real ni efectivo.</w:t>
      </w:r>
    </w:p>
    <w:p w14:paraId="386EC4D3" w14:textId="7A9D1344" w:rsidR="008B28AF" w:rsidRPr="00E51638" w:rsidRDefault="00221961" w:rsidP="00221961">
      <w:pPr>
        <w:pStyle w:val="Prrafo"/>
        <w:numPr>
          <w:ilvl w:val="0"/>
          <w:numId w:val="6"/>
        </w:numPr>
        <w:spacing w:after="0"/>
        <w:ind w:left="0" w:hanging="567"/>
        <w:rPr>
          <w:color w:val="000000" w:themeColor="text1"/>
        </w:rPr>
      </w:pPr>
      <w:r w:rsidRPr="00E51638">
        <w:rPr>
          <w:color w:val="000000" w:themeColor="text1"/>
        </w:rPr>
        <w:t>P</w:t>
      </w:r>
      <w:r w:rsidR="003C7AFE" w:rsidRPr="00E51638">
        <w:rPr>
          <w:color w:val="000000" w:themeColor="text1"/>
        </w:rPr>
        <w:t>ara la Corte Interamericana, los alcances del “</w:t>
      </w:r>
      <w:r w:rsidR="003C7AFE" w:rsidRPr="00E51638">
        <w:rPr>
          <w:i/>
          <w:iCs/>
          <w:color w:val="000000" w:themeColor="text1"/>
        </w:rPr>
        <w:t>juicio para la protección de los derechos político-electorales del ciudadano</w:t>
      </w:r>
      <w:r w:rsidR="003C7AFE" w:rsidRPr="00E51638">
        <w:rPr>
          <w:color w:val="000000" w:themeColor="text1"/>
        </w:rPr>
        <w:t>” (en su redacción previa a la reforma constitucional de dos mil siete), eran insuficientes para considerarlo un recurso efectivo, po</w:t>
      </w:r>
      <w:r w:rsidRPr="00E51638">
        <w:rPr>
          <w:color w:val="000000" w:themeColor="text1"/>
        </w:rPr>
        <w:t>rque un recurso judicial debe ser capaz de conducir a un análisis por parte de un tribunal competente a efecto de establecer si ha habido o no una violación a los derechos humanos y, en su caso, proporcionar una reparación, lo que en ese caso no era posible</w:t>
      </w:r>
      <w:r w:rsidR="008B28AF" w:rsidRPr="00E51638">
        <w:rPr>
          <w:rStyle w:val="FootnoteRef"/>
          <w:iCs/>
          <w:color w:val="000000" w:themeColor="text1"/>
          <w:sz w:val="24"/>
          <w:szCs w:val="24"/>
        </w:rPr>
        <w:footnoteReference w:id="32"/>
      </w:r>
      <w:r w:rsidR="008B28AF" w:rsidRPr="00E51638">
        <w:rPr>
          <w:i/>
          <w:color w:val="000000" w:themeColor="text1"/>
          <w:sz w:val="24"/>
          <w:szCs w:val="24"/>
        </w:rPr>
        <w:t>.</w:t>
      </w:r>
    </w:p>
    <w:p w14:paraId="405AB4E3" w14:textId="77777777" w:rsidR="003C7AFE" w:rsidRPr="00E51638" w:rsidRDefault="008B28AF" w:rsidP="003C7AFE">
      <w:pPr>
        <w:pStyle w:val="Prrafo"/>
        <w:numPr>
          <w:ilvl w:val="0"/>
          <w:numId w:val="6"/>
        </w:numPr>
        <w:spacing w:after="0"/>
        <w:ind w:left="0" w:hanging="567"/>
        <w:rPr>
          <w:color w:val="000000" w:themeColor="text1"/>
        </w:rPr>
      </w:pPr>
      <w:r w:rsidRPr="00E51638">
        <w:rPr>
          <w:color w:val="000000" w:themeColor="text1"/>
        </w:rPr>
        <w:t>Como puede observarse, desde esta dimensión el derecho de acceso a la justicia también conlleva la necesidad de que los instrumentos o medios procesales destinados a garantizar los derechos humanos tengan la capacidad real para lograr la protección de dichos derechos.</w:t>
      </w:r>
    </w:p>
    <w:p w14:paraId="6B8C71BA" w14:textId="6D8BB843" w:rsidR="008B28AF" w:rsidRPr="00E51638" w:rsidRDefault="001124E6" w:rsidP="003C7AFE">
      <w:pPr>
        <w:pStyle w:val="Prrafo"/>
        <w:numPr>
          <w:ilvl w:val="0"/>
          <w:numId w:val="6"/>
        </w:numPr>
        <w:spacing w:after="0"/>
        <w:ind w:left="0" w:hanging="567"/>
        <w:rPr>
          <w:color w:val="000000" w:themeColor="text1"/>
        </w:rPr>
      </w:pPr>
      <w:r w:rsidRPr="00E51638">
        <w:rPr>
          <w:color w:val="000000" w:themeColor="text1"/>
        </w:rPr>
        <w:lastRenderedPageBreak/>
        <w:t>P</w:t>
      </w:r>
      <w:r w:rsidR="008B28AF" w:rsidRPr="00E51638">
        <w:rPr>
          <w:color w:val="000000" w:themeColor="text1"/>
        </w:rPr>
        <w:t xml:space="preserve">ara considerar que existe un recurso efectivo, no basta la existencia de un sistema recursal implementado desde el punto de vista formal en Ley; por el contrario, </w:t>
      </w:r>
      <w:r w:rsidR="008B28AF" w:rsidRPr="00E51638">
        <w:rPr>
          <w:b/>
          <w:bCs/>
          <w:color w:val="000000" w:themeColor="text1"/>
          <w:u w:val="single"/>
        </w:rPr>
        <w:t xml:space="preserve">es necesario que el sistema recursal permita, efectivamente, la tutela de los derechos de las personas, incluso </w:t>
      </w:r>
      <w:r w:rsidRPr="00E51638">
        <w:rPr>
          <w:b/>
          <w:bCs/>
          <w:color w:val="000000" w:themeColor="text1"/>
          <w:u w:val="single"/>
        </w:rPr>
        <w:t xml:space="preserve">en algunos casos, </w:t>
      </w:r>
      <w:r w:rsidR="008B28AF" w:rsidRPr="00E51638">
        <w:rPr>
          <w:b/>
          <w:bCs/>
          <w:color w:val="000000" w:themeColor="text1"/>
          <w:u w:val="single"/>
        </w:rPr>
        <w:t>cuando se</w:t>
      </w:r>
      <w:r w:rsidRPr="00E51638">
        <w:rPr>
          <w:b/>
          <w:bCs/>
          <w:color w:val="000000" w:themeColor="text1"/>
          <w:u w:val="single"/>
        </w:rPr>
        <w:t xml:space="preserve"> trate de actos internos del Parlamento</w:t>
      </w:r>
      <w:r w:rsidR="008B28AF" w:rsidRPr="00E51638">
        <w:rPr>
          <w:color w:val="000000" w:themeColor="text1"/>
        </w:rPr>
        <w:t xml:space="preserve">. </w:t>
      </w:r>
    </w:p>
    <w:p w14:paraId="47A4D9A7" w14:textId="76F9067B" w:rsidR="002A2168" w:rsidRPr="00E51638" w:rsidRDefault="002A2168" w:rsidP="003C7AFE">
      <w:pPr>
        <w:pStyle w:val="Prrafo"/>
        <w:numPr>
          <w:ilvl w:val="0"/>
          <w:numId w:val="6"/>
        </w:numPr>
        <w:spacing w:after="0"/>
        <w:ind w:left="0" w:hanging="567"/>
        <w:rPr>
          <w:color w:val="000000" w:themeColor="text1"/>
        </w:rPr>
      </w:pPr>
      <w:r w:rsidRPr="00E51638">
        <w:rPr>
          <w:color w:val="000000" w:themeColor="text1"/>
        </w:rPr>
        <w:t xml:space="preserve">Por supuesto, el derecho </w:t>
      </w:r>
      <w:r w:rsidR="00813ECC" w:rsidRPr="00E51638">
        <w:rPr>
          <w:color w:val="000000" w:themeColor="text1"/>
        </w:rPr>
        <w:t xml:space="preserve">de </w:t>
      </w:r>
      <w:r w:rsidRPr="00E51638">
        <w:rPr>
          <w:color w:val="000000" w:themeColor="text1"/>
        </w:rPr>
        <w:t xml:space="preserve">tutela judicial efectiva y acceso a la jurisdicción no implica que las partes no deban cumplir con una serie de requisitos formales y sustanciales a efecto de abrir las puertas de los tribunales, pero esos requisitos de procedencia deben ser razonables y proporcionales, en forma tal que no hagan nugatorio el derecho de acceso a la justicia y </w:t>
      </w:r>
      <w:r w:rsidR="00553DF7" w:rsidRPr="00E51638">
        <w:rPr>
          <w:color w:val="000000" w:themeColor="text1"/>
        </w:rPr>
        <w:t>generen que los recursos no sean realmente efectivos.</w:t>
      </w:r>
    </w:p>
    <w:p w14:paraId="23DBB84D" w14:textId="5C13584D" w:rsidR="002A2168" w:rsidRPr="00E51638" w:rsidRDefault="00553DF7" w:rsidP="002A2168">
      <w:pPr>
        <w:pStyle w:val="Prrafo"/>
        <w:numPr>
          <w:ilvl w:val="0"/>
          <w:numId w:val="6"/>
        </w:numPr>
        <w:ind w:left="0" w:hanging="709"/>
        <w:rPr>
          <w:color w:val="000000" w:themeColor="text1"/>
        </w:rPr>
      </w:pPr>
      <w:r w:rsidRPr="00E51638">
        <w:rPr>
          <w:color w:val="000000" w:themeColor="text1"/>
        </w:rPr>
        <w:t>Al respecto</w:t>
      </w:r>
      <w:r w:rsidR="002A2168" w:rsidRPr="00E51638">
        <w:rPr>
          <w:color w:val="000000" w:themeColor="text1"/>
        </w:rPr>
        <w:t>, la Primera Sala ha interpretado</w:t>
      </w:r>
      <w:r w:rsidR="002A2168" w:rsidRPr="00E51638">
        <w:rPr>
          <w:rStyle w:val="Refdenotaalpie"/>
          <w:color w:val="000000" w:themeColor="text1"/>
        </w:rPr>
        <w:footnoteReference w:id="33"/>
      </w:r>
      <w:r w:rsidR="002A2168" w:rsidRPr="00E51638">
        <w:rPr>
          <w:color w:val="000000" w:themeColor="text1"/>
        </w:rPr>
        <w:t xml:space="preserve"> —y este Tribunal Pleno comparte— que al establecerse en el artículo 17 constitucional que la </w:t>
      </w:r>
      <w:r w:rsidR="002A2168" w:rsidRPr="00E51638">
        <w:rPr>
          <w:color w:val="000000" w:themeColor="text1"/>
        </w:rPr>
        <w:lastRenderedPageBreak/>
        <w:t>administración de justicia se impartirá “</w:t>
      </w:r>
      <w:r w:rsidR="002A2168" w:rsidRPr="00E51638">
        <w:rPr>
          <w:i/>
          <w:iCs/>
          <w:color w:val="000000" w:themeColor="text1"/>
        </w:rPr>
        <w:t>en los plazos y términos que fijen las leyes</w:t>
      </w:r>
      <w:r w:rsidR="002A2168" w:rsidRPr="00E51638">
        <w:rPr>
          <w:color w:val="000000" w:themeColor="text1"/>
        </w:rPr>
        <w:t xml:space="preserve">”, es el órgano legislativo quien establecerá las condiciones para el acceso a los tribunales y regulará las distintas vías y los procedimientos, cada uno de los cuales tendrá diferentes requisitos de procedencia que deberán cumplirse para justificar el accionar del aparato jurisdiccional, dentro de los cuales pueden establecerse, por ejemplo, aquellos que regulen: </w:t>
      </w:r>
      <w:r w:rsidR="002A2168" w:rsidRPr="00E51638">
        <w:rPr>
          <w:b/>
          <w:bCs/>
          <w:color w:val="000000" w:themeColor="text1"/>
        </w:rPr>
        <w:t>a)</w:t>
      </w:r>
      <w:r w:rsidR="002A2168" w:rsidRPr="00E51638">
        <w:rPr>
          <w:color w:val="000000" w:themeColor="text1"/>
        </w:rPr>
        <w:t xml:space="preserve"> la admisibilidad de un escrito; </w:t>
      </w:r>
      <w:r w:rsidR="002A2168" w:rsidRPr="00E51638">
        <w:rPr>
          <w:b/>
          <w:bCs/>
          <w:color w:val="000000" w:themeColor="text1"/>
        </w:rPr>
        <w:t>b)</w:t>
      </w:r>
      <w:r w:rsidR="002A2168" w:rsidRPr="00E51638">
        <w:rPr>
          <w:color w:val="000000" w:themeColor="text1"/>
        </w:rPr>
        <w:t xml:space="preserve"> la legitimación de las partes; </w:t>
      </w:r>
      <w:r w:rsidR="002A2168" w:rsidRPr="00E51638">
        <w:rPr>
          <w:b/>
          <w:bCs/>
          <w:color w:val="000000" w:themeColor="text1"/>
        </w:rPr>
        <w:t xml:space="preserve">c) </w:t>
      </w:r>
      <w:r w:rsidR="002A2168" w:rsidRPr="00E51638">
        <w:rPr>
          <w:color w:val="000000" w:themeColor="text1"/>
        </w:rPr>
        <w:t xml:space="preserve">la representación; </w:t>
      </w:r>
      <w:r w:rsidR="002A2168" w:rsidRPr="00E51638">
        <w:rPr>
          <w:b/>
          <w:bCs/>
          <w:color w:val="000000" w:themeColor="text1"/>
        </w:rPr>
        <w:t>d)</w:t>
      </w:r>
      <w:r w:rsidR="002A2168" w:rsidRPr="00E51638">
        <w:rPr>
          <w:color w:val="000000" w:themeColor="text1"/>
        </w:rPr>
        <w:t xml:space="preserve"> la oportunidad en la interposición de la acción, excepción o defensa, recurso o incidente; </w:t>
      </w:r>
      <w:r w:rsidR="002A2168" w:rsidRPr="00E51638">
        <w:rPr>
          <w:b/>
          <w:bCs/>
          <w:color w:val="000000" w:themeColor="text1"/>
        </w:rPr>
        <w:t>e)</w:t>
      </w:r>
      <w:r w:rsidR="002A2168" w:rsidRPr="00E51638">
        <w:rPr>
          <w:color w:val="000000" w:themeColor="text1"/>
        </w:rPr>
        <w:t xml:space="preserve"> la competencia del órgano ante el cual se promueve; </w:t>
      </w:r>
      <w:r w:rsidR="002A2168" w:rsidRPr="00E51638">
        <w:rPr>
          <w:b/>
          <w:bCs/>
          <w:color w:val="000000" w:themeColor="text1"/>
        </w:rPr>
        <w:t>f)</w:t>
      </w:r>
      <w:r w:rsidR="002A2168" w:rsidRPr="00E51638">
        <w:rPr>
          <w:color w:val="000000" w:themeColor="text1"/>
        </w:rPr>
        <w:t xml:space="preserve"> la exhibición de ciertos documentos de los cuales depende la existencia de la acción; y, </w:t>
      </w:r>
      <w:r w:rsidR="002A2168" w:rsidRPr="00E51638">
        <w:rPr>
          <w:b/>
          <w:bCs/>
          <w:color w:val="000000" w:themeColor="text1"/>
        </w:rPr>
        <w:t>g)</w:t>
      </w:r>
      <w:r w:rsidR="002A2168" w:rsidRPr="00E51638">
        <w:rPr>
          <w:color w:val="000000" w:themeColor="text1"/>
        </w:rPr>
        <w:t xml:space="preserve"> la procedencia de la vía.</w:t>
      </w:r>
    </w:p>
    <w:p w14:paraId="3F3A3272" w14:textId="4A75A168" w:rsidR="002A2168" w:rsidRPr="00E51638" w:rsidRDefault="002A2168" w:rsidP="002A2168">
      <w:pPr>
        <w:pStyle w:val="Prrafo"/>
        <w:numPr>
          <w:ilvl w:val="0"/>
          <w:numId w:val="6"/>
        </w:numPr>
        <w:ind w:left="0" w:hanging="709"/>
        <w:rPr>
          <w:color w:val="000000" w:themeColor="text1"/>
        </w:rPr>
      </w:pPr>
      <w:r w:rsidRPr="00E51638">
        <w:rPr>
          <w:color w:val="000000" w:themeColor="text1"/>
        </w:rPr>
        <w:t xml:space="preserve">Los </w:t>
      </w:r>
      <w:r w:rsidRPr="00E51638">
        <w:rPr>
          <w:i/>
          <w:iCs/>
          <w:color w:val="000000" w:themeColor="text1"/>
        </w:rPr>
        <w:t>requisitos de procedencia</w:t>
      </w:r>
      <w:r w:rsidRPr="00E51638">
        <w:rPr>
          <w:color w:val="000000" w:themeColor="text1"/>
        </w:rPr>
        <w:t xml:space="preserve"> </w:t>
      </w:r>
      <w:r w:rsidR="008102FA" w:rsidRPr="00E51638">
        <w:rPr>
          <w:color w:val="000000" w:themeColor="text1"/>
        </w:rPr>
        <w:t>son</w:t>
      </w:r>
      <w:r w:rsidRPr="00E51638">
        <w:rPr>
          <w:color w:val="000000" w:themeColor="text1"/>
        </w:rPr>
        <w:t xml:space="preserve"> los elementos mínimos necesarios previstos en las leyes </w:t>
      </w:r>
      <w:r w:rsidR="008102FA" w:rsidRPr="00E51638">
        <w:rPr>
          <w:color w:val="000000" w:themeColor="text1"/>
        </w:rPr>
        <w:t>procesales</w:t>
      </w:r>
      <w:r w:rsidRPr="00E51638">
        <w:rPr>
          <w:color w:val="000000" w:themeColor="text1"/>
        </w:rPr>
        <w:t xml:space="preserve"> que deben satisfacerse para </w:t>
      </w:r>
      <w:r w:rsidR="008102FA" w:rsidRPr="00E51638">
        <w:rPr>
          <w:color w:val="000000" w:themeColor="text1"/>
        </w:rPr>
        <w:t>actualizar</w:t>
      </w:r>
      <w:r w:rsidRPr="00E51638">
        <w:rPr>
          <w:color w:val="000000" w:themeColor="text1"/>
        </w:rPr>
        <w:t xml:space="preserve"> la jurisdicción, es decir, para que el juzgador se encuentre en aptitud de conocer la cuestión de fondo planteada en el caso sometido a su potestad y pueda resolverla, determinando los efectos de dicha resolución. Lo importante en cada caso será que </w:t>
      </w:r>
      <w:r w:rsidRPr="00E51638">
        <w:rPr>
          <w:b/>
          <w:bCs/>
          <w:color w:val="000000" w:themeColor="text1"/>
        </w:rPr>
        <w:t xml:space="preserve">para poder concluir que existe un verdadero acceso a la jurisdicción o a los tribunales, es necesario </w:t>
      </w:r>
      <w:r w:rsidR="00E46504" w:rsidRPr="00E51638">
        <w:rPr>
          <w:b/>
          <w:bCs/>
          <w:color w:val="000000" w:themeColor="text1"/>
        </w:rPr>
        <w:t>verificar</w:t>
      </w:r>
      <w:r w:rsidRPr="00E51638">
        <w:rPr>
          <w:b/>
          <w:bCs/>
          <w:color w:val="000000" w:themeColor="text1"/>
        </w:rPr>
        <w:t xml:space="preserve"> la inexistencia de impedimentos jurídicos o fácticos que resulten carentes de racionalidad, proporcionalidad o que </w:t>
      </w:r>
      <w:r w:rsidR="00E46504" w:rsidRPr="00E51638">
        <w:rPr>
          <w:b/>
          <w:bCs/>
          <w:color w:val="000000" w:themeColor="text1"/>
        </w:rPr>
        <w:t>sean</w:t>
      </w:r>
      <w:r w:rsidRPr="00E51638">
        <w:rPr>
          <w:b/>
          <w:bCs/>
          <w:color w:val="000000" w:themeColor="text1"/>
        </w:rPr>
        <w:t xml:space="preserve"> discriminatorios</w:t>
      </w:r>
      <w:r w:rsidRPr="00E51638">
        <w:rPr>
          <w:color w:val="000000" w:themeColor="text1"/>
        </w:rPr>
        <w:t>.</w:t>
      </w:r>
    </w:p>
    <w:p w14:paraId="36AE1C67" w14:textId="77777777" w:rsidR="002A2168" w:rsidRPr="00E51638" w:rsidRDefault="002A2168" w:rsidP="002A2168">
      <w:pPr>
        <w:pStyle w:val="Prrafo"/>
        <w:numPr>
          <w:ilvl w:val="0"/>
          <w:numId w:val="6"/>
        </w:numPr>
        <w:ind w:left="0" w:hanging="709"/>
        <w:rPr>
          <w:color w:val="000000" w:themeColor="text1"/>
        </w:rPr>
      </w:pPr>
      <w:r w:rsidRPr="00E51638">
        <w:rPr>
          <w:color w:val="000000" w:themeColor="text1"/>
        </w:rPr>
        <w:t>En este sentido, al resolver la contradicción de tesis 35/2000</w:t>
      </w:r>
      <w:r w:rsidRPr="00E51638">
        <w:rPr>
          <w:rStyle w:val="Refdenotaalpie"/>
          <w:color w:val="000000" w:themeColor="text1"/>
        </w:rPr>
        <w:footnoteReference w:id="34"/>
      </w:r>
      <w:r w:rsidRPr="00E51638">
        <w:rPr>
          <w:color w:val="000000" w:themeColor="text1"/>
        </w:rPr>
        <w:t>, el Tribunal Pleno determinó que si bien el Texto Fundamental deja en manos del legislador la determinación de los plazos y los términos con base en los cuales se desarrollará la actividad jurisdiccional,</w:t>
      </w:r>
      <w:r w:rsidRPr="00E51638">
        <w:rPr>
          <w:b/>
          <w:bCs/>
          <w:color w:val="000000" w:themeColor="text1"/>
        </w:rPr>
        <w:t xml:space="preserve"> debe estimarse que tal regulación puede limitar esa </w:t>
      </w:r>
      <w:r w:rsidRPr="00E51638">
        <w:rPr>
          <w:b/>
          <w:bCs/>
          <w:color w:val="000000" w:themeColor="text1"/>
        </w:rPr>
        <w:lastRenderedPageBreak/>
        <w:t xml:space="preserve">prerrogativa fundamental siempre y cuando no establezca obstáculos o presupuestos procesales que no encuentren justificación constitucional, </w:t>
      </w:r>
      <w:r w:rsidRPr="00E51638">
        <w:rPr>
          <w:b/>
          <w:bCs/>
          <w:color w:val="000000" w:themeColor="text1"/>
          <w:u w:val="single"/>
        </w:rPr>
        <w:t>como sucede cuando se desconoce la naturaleza jurídica del vínculo del que emanan los derechos cuya tutela se solicita, tornándolos nugatorios</w:t>
      </w:r>
      <w:r w:rsidRPr="00E51638">
        <w:rPr>
          <w:b/>
          <w:bCs/>
          <w:color w:val="000000" w:themeColor="text1"/>
        </w:rPr>
        <w:t>.</w:t>
      </w:r>
    </w:p>
    <w:p w14:paraId="50845EDA" w14:textId="30BB6E6B" w:rsidR="002A2168" w:rsidRPr="00E51638" w:rsidRDefault="002A2168" w:rsidP="002A2168">
      <w:pPr>
        <w:pStyle w:val="Prrafo"/>
        <w:numPr>
          <w:ilvl w:val="0"/>
          <w:numId w:val="6"/>
        </w:numPr>
        <w:ind w:left="0" w:hanging="709"/>
        <w:rPr>
          <w:color w:val="000000" w:themeColor="text1"/>
        </w:rPr>
      </w:pPr>
      <w:r w:rsidRPr="00E51638">
        <w:rPr>
          <w:color w:val="000000" w:themeColor="text1"/>
        </w:rPr>
        <w:t>Lo anterior, porque como todo derecho fundamental, el acceso efectivo a la justicia que administran los tribunales del Estado no es absoluto, por lo que su ejercicio debe someterse a cauces que al limitarlo justificadamente posibiliten su prestación adecuada, con el fin de lograr que las instancias de justicia constituyan el mecanismo expedito, eficaz y confiable que reconoce nuestra Constitución.</w:t>
      </w:r>
    </w:p>
    <w:p w14:paraId="0137BD52" w14:textId="77777777" w:rsidR="002A2168" w:rsidRPr="00E51638" w:rsidRDefault="002A2168" w:rsidP="002A2168">
      <w:pPr>
        <w:pStyle w:val="Prrafo"/>
        <w:numPr>
          <w:ilvl w:val="0"/>
          <w:numId w:val="6"/>
        </w:numPr>
        <w:ind w:left="0" w:hanging="709"/>
        <w:rPr>
          <w:color w:val="000000" w:themeColor="text1"/>
        </w:rPr>
      </w:pPr>
      <w:r w:rsidRPr="00E51638">
        <w:rPr>
          <w:color w:val="000000" w:themeColor="text1"/>
        </w:rPr>
        <w:t xml:space="preserve">En ese tenor, </w:t>
      </w:r>
      <w:r w:rsidRPr="00E51638">
        <w:rPr>
          <w:b/>
          <w:bCs/>
          <w:color w:val="000000" w:themeColor="text1"/>
        </w:rPr>
        <w:t>los presupuestos procesales, requisitos o condiciones que el legislador establece para lograr tales fines no pueden ser fijados arbitrariamente</w:t>
      </w:r>
      <w:r w:rsidRPr="00E51638">
        <w:rPr>
          <w:color w:val="000000" w:themeColor="text1"/>
        </w:rPr>
        <w:t>, sino que deben tener sustento en diversos principios y derechos consagrados o garantizados en la Constitución General de la República atendiendo a la naturaleza de la relación jurídica de la que derivan las prerrogativas cuya tutela se solicita y al contexto constitucional en el que ésta se da.</w:t>
      </w:r>
    </w:p>
    <w:p w14:paraId="5266AA63" w14:textId="77777777" w:rsidR="002A2168" w:rsidRPr="00E51638" w:rsidRDefault="002A2168" w:rsidP="002A2168">
      <w:pPr>
        <w:pStyle w:val="Prrafo"/>
        <w:numPr>
          <w:ilvl w:val="0"/>
          <w:numId w:val="6"/>
        </w:numPr>
        <w:ind w:left="0" w:hanging="709"/>
        <w:rPr>
          <w:color w:val="000000" w:themeColor="text1"/>
        </w:rPr>
      </w:pPr>
      <w:r w:rsidRPr="00E51638">
        <w:rPr>
          <w:color w:val="000000" w:themeColor="text1"/>
        </w:rPr>
        <w:t xml:space="preserve">Por esto, </w:t>
      </w:r>
      <w:r w:rsidRPr="00E51638">
        <w:rPr>
          <w:b/>
          <w:bCs/>
          <w:color w:val="000000" w:themeColor="text1"/>
        </w:rPr>
        <w:t>el legislador deberá valorar tales circunstancias con el fin de dar cauce al proceso respectivo sin establecer presupuestos procesales o condiciones que no se justifiquen constitucionalmente</w:t>
      </w:r>
      <w:r w:rsidRPr="00E51638">
        <w:rPr>
          <w:color w:val="000000" w:themeColor="text1"/>
        </w:rPr>
        <w:t>, como puede suceder cuando éstos desconozcan a tal grado la relación jurídica de donde emanan los derechos cuya tutela se solicita, que tornen nugatoria su defensa jurisdiccional.</w:t>
      </w:r>
    </w:p>
    <w:p w14:paraId="47A36943" w14:textId="0951FE68" w:rsidR="002A2168" w:rsidRPr="00E51638" w:rsidRDefault="002A2168" w:rsidP="002A2168">
      <w:pPr>
        <w:pStyle w:val="Prrafo"/>
        <w:numPr>
          <w:ilvl w:val="0"/>
          <w:numId w:val="6"/>
        </w:numPr>
        <w:ind w:left="0" w:hanging="709"/>
        <w:rPr>
          <w:color w:val="000000" w:themeColor="text1"/>
        </w:rPr>
      </w:pPr>
      <w:r w:rsidRPr="00E51638">
        <w:rPr>
          <w:color w:val="000000" w:themeColor="text1"/>
        </w:rPr>
        <w:t xml:space="preserve">En esos términos, </w:t>
      </w:r>
      <w:r w:rsidRPr="00E51638">
        <w:rPr>
          <w:b/>
          <w:bCs/>
          <w:color w:val="000000" w:themeColor="text1"/>
          <w:u w:val="single"/>
        </w:rPr>
        <w:t>los requisitos u obstáculos que establezca el legislador para acceder a la jurisdicción, serán constitucionalmente válidos únicamente si, reconociendo la esencia del derecho al acceso efectivo a la justicia, se encuentran encaminados a resguardar otros derechos, principios, bienes o intereses constitucionalmente protegidos</w:t>
      </w:r>
      <w:r w:rsidRPr="00E51638">
        <w:rPr>
          <w:color w:val="000000" w:themeColor="text1"/>
        </w:rPr>
        <w:t xml:space="preserve">, lo que implica, incluso, que aquéllos sean congruentes con la naturaleza del derecho </w:t>
      </w:r>
      <w:r w:rsidRPr="00E51638">
        <w:rPr>
          <w:color w:val="000000" w:themeColor="text1"/>
        </w:rPr>
        <w:lastRenderedPageBreak/>
        <w:t>sustantivo cuya tutela se pide, en tal medida que su cumplimiento no implique su pérdida o grave menoscabo</w:t>
      </w:r>
      <w:r w:rsidRPr="00E51638">
        <w:rPr>
          <w:rStyle w:val="Refdenotaalpie"/>
          <w:color w:val="000000" w:themeColor="text1"/>
        </w:rPr>
        <w:footnoteReference w:id="35"/>
      </w:r>
      <w:r w:rsidRPr="00E51638">
        <w:rPr>
          <w:color w:val="000000" w:themeColor="text1"/>
        </w:rPr>
        <w:t>.</w:t>
      </w:r>
    </w:p>
    <w:p w14:paraId="2999A13E" w14:textId="693CB1CF" w:rsidR="00553DF7" w:rsidRPr="00E51638" w:rsidRDefault="00553DF7" w:rsidP="002A2168">
      <w:pPr>
        <w:pStyle w:val="Prrafo"/>
        <w:numPr>
          <w:ilvl w:val="0"/>
          <w:numId w:val="6"/>
        </w:numPr>
        <w:ind w:left="0" w:hanging="709"/>
        <w:rPr>
          <w:color w:val="000000" w:themeColor="text1"/>
        </w:rPr>
      </w:pPr>
      <w:r w:rsidRPr="00E51638">
        <w:rPr>
          <w:color w:val="000000" w:themeColor="text1"/>
        </w:rPr>
        <w:t>Por tanto, el Estado se encuentra obligado a contar con recursos efectivos y suficientes para tutelar los derechos de la ciudadanía; si bien el legislador puede regular el acceso a la jurisdicción a través de requisitos procesales, estos obstáculos deben ser razonables, proporcionales y no pueden traducirse en una barrera que haga que los recursos sean ilusorios e inútiles.</w:t>
      </w:r>
    </w:p>
    <w:p w14:paraId="77DC77A5" w14:textId="2511AE22" w:rsidR="00F84688" w:rsidRPr="00E51638" w:rsidRDefault="001124E6" w:rsidP="00CF6E91">
      <w:pPr>
        <w:pStyle w:val="Prrafo"/>
        <w:spacing w:after="0"/>
        <w:outlineLvl w:val="4"/>
        <w:rPr>
          <w:b/>
          <w:color w:val="000000" w:themeColor="text1"/>
        </w:rPr>
      </w:pPr>
      <w:bookmarkStart w:id="68" w:name="_Toc108556668"/>
      <w:bookmarkStart w:id="69" w:name="_Toc108630505"/>
      <w:bookmarkStart w:id="70" w:name="_Toc108795870"/>
      <w:bookmarkStart w:id="71" w:name="_Toc109004124"/>
      <w:bookmarkStart w:id="72" w:name="_Toc113984442"/>
      <w:r w:rsidRPr="00E51638">
        <w:rPr>
          <w:b/>
          <w:bCs/>
          <w:color w:val="000000" w:themeColor="text1"/>
        </w:rPr>
        <w:t>B.</w:t>
      </w:r>
      <w:r w:rsidR="00F84688" w:rsidRPr="00E51638">
        <w:rPr>
          <w:b/>
          <w:bCs/>
          <w:color w:val="000000" w:themeColor="text1"/>
        </w:rPr>
        <w:t xml:space="preserve"> Derecho a ser votado a cargos públicos representativos. Acceso y desempeño de la función parlamentaria </w:t>
      </w:r>
      <w:r w:rsidR="00583883" w:rsidRPr="00E51638">
        <w:rPr>
          <w:b/>
          <w:bCs/>
          <w:color w:val="000000" w:themeColor="text1"/>
        </w:rPr>
        <w:t>(</w:t>
      </w:r>
      <w:r w:rsidR="00583883" w:rsidRPr="00E51638">
        <w:rPr>
          <w:b/>
          <w:bCs/>
          <w:i/>
          <w:iCs/>
          <w:color w:val="000000" w:themeColor="text1"/>
        </w:rPr>
        <w:t>ius in officium</w:t>
      </w:r>
      <w:r w:rsidR="00583883" w:rsidRPr="00E51638">
        <w:rPr>
          <w:b/>
          <w:bCs/>
          <w:color w:val="000000" w:themeColor="text1"/>
        </w:rPr>
        <w:t>)</w:t>
      </w:r>
      <w:r w:rsidR="00F84688" w:rsidRPr="00E51638">
        <w:rPr>
          <w:color w:val="000000" w:themeColor="text1"/>
        </w:rPr>
        <w:t>.</w:t>
      </w:r>
      <w:bookmarkEnd w:id="68"/>
      <w:bookmarkEnd w:id="69"/>
      <w:bookmarkEnd w:id="70"/>
      <w:bookmarkEnd w:id="71"/>
      <w:bookmarkEnd w:id="72"/>
    </w:p>
    <w:p w14:paraId="31D624BF" w14:textId="256B7B8E" w:rsidR="0050662E" w:rsidRPr="00E51638" w:rsidRDefault="00F84688" w:rsidP="0073600D">
      <w:pPr>
        <w:pStyle w:val="Prrafo"/>
        <w:numPr>
          <w:ilvl w:val="0"/>
          <w:numId w:val="6"/>
        </w:numPr>
        <w:spacing w:after="0"/>
        <w:ind w:left="0" w:hanging="567"/>
        <w:rPr>
          <w:color w:val="000000" w:themeColor="text1"/>
        </w:rPr>
      </w:pPr>
      <w:r w:rsidRPr="00E51638">
        <w:rPr>
          <w:color w:val="000000" w:themeColor="text1"/>
        </w:rPr>
        <w:t xml:space="preserve">En el apartado anterior se dejó clara la doctrina de este Tribunal Pleno con relación al derecho de la ciudadanía a contar con un recurso real y efectivo </w:t>
      </w:r>
      <w:r w:rsidR="001F0C2B" w:rsidRPr="00E51638">
        <w:rPr>
          <w:color w:val="000000" w:themeColor="text1"/>
        </w:rPr>
        <w:t>que le permita atacar los autos de autoridad que considere le ocasionan un perjuicio</w:t>
      </w:r>
      <w:r w:rsidR="00D17180" w:rsidRPr="00E51638">
        <w:rPr>
          <w:color w:val="000000" w:themeColor="text1"/>
        </w:rPr>
        <w:t xml:space="preserve">. </w:t>
      </w:r>
      <w:r w:rsidR="001F0C2B" w:rsidRPr="00E51638">
        <w:rPr>
          <w:color w:val="000000" w:themeColor="text1"/>
        </w:rPr>
        <w:t>Sin embargo, no todos los actos son justiciables en sede judicial</w:t>
      </w:r>
      <w:r w:rsidR="00D17180" w:rsidRPr="00E51638">
        <w:rPr>
          <w:color w:val="000000" w:themeColor="text1"/>
        </w:rPr>
        <w:t xml:space="preserve">. </w:t>
      </w:r>
      <w:r w:rsidR="001F0C2B" w:rsidRPr="00E51638">
        <w:rPr>
          <w:color w:val="000000" w:themeColor="text1"/>
        </w:rPr>
        <w:t>Por ese motivo, a continuación</w:t>
      </w:r>
      <w:r w:rsidR="00F56950" w:rsidRPr="00E51638">
        <w:rPr>
          <w:color w:val="000000" w:themeColor="text1"/>
        </w:rPr>
        <w:t xml:space="preserve">, </w:t>
      </w:r>
      <w:r w:rsidR="001F0C2B" w:rsidRPr="00E51638">
        <w:rPr>
          <w:color w:val="000000" w:themeColor="text1"/>
        </w:rPr>
        <w:t xml:space="preserve">se expondrá la doctrina de esta Suprema Corte de Justicia de la Nación con relación </w:t>
      </w:r>
      <w:r w:rsidR="00F56950" w:rsidRPr="00E51638">
        <w:rPr>
          <w:color w:val="000000" w:themeColor="text1"/>
        </w:rPr>
        <w:t>a los alcance</w:t>
      </w:r>
      <w:r w:rsidR="0073600D" w:rsidRPr="00E51638">
        <w:rPr>
          <w:color w:val="000000" w:themeColor="text1"/>
        </w:rPr>
        <w:t>s</w:t>
      </w:r>
      <w:r w:rsidR="001F0C2B" w:rsidRPr="00E51638">
        <w:rPr>
          <w:color w:val="000000" w:themeColor="text1"/>
        </w:rPr>
        <w:t xml:space="preserve"> del derecho fundamental a ser votado y sus </w:t>
      </w:r>
      <w:r w:rsidR="001F0C2B" w:rsidRPr="00E51638">
        <w:rPr>
          <w:color w:val="000000" w:themeColor="text1"/>
        </w:rPr>
        <w:lastRenderedPageBreak/>
        <w:t>distintas dimensiones, como la correspondiente al ejercicio y desempeño del cargo.</w:t>
      </w:r>
    </w:p>
    <w:p w14:paraId="0AC4307B" w14:textId="6393464B" w:rsidR="0050662E" w:rsidRPr="00E51638" w:rsidRDefault="0050662E" w:rsidP="0050662E">
      <w:pPr>
        <w:pStyle w:val="Prrafo"/>
        <w:numPr>
          <w:ilvl w:val="0"/>
          <w:numId w:val="6"/>
        </w:numPr>
        <w:spacing w:after="0"/>
        <w:ind w:left="0" w:hanging="567"/>
        <w:rPr>
          <w:color w:val="000000" w:themeColor="text1"/>
        </w:rPr>
      </w:pPr>
      <w:r w:rsidRPr="00E51638">
        <w:rPr>
          <w:color w:val="000000" w:themeColor="text1"/>
        </w:rPr>
        <w:t>El sistema constitucional mexicano descansa sobre la base de que la soberanía o poder político reside originalmente en el pueblo, por lo que, de acuerdo con el artículo 39 de la Constitución General</w:t>
      </w:r>
      <w:r w:rsidRPr="00E51638">
        <w:rPr>
          <w:rStyle w:val="Refdenotaalpie"/>
          <w:color w:val="000000" w:themeColor="text1"/>
        </w:rPr>
        <w:footnoteReference w:id="36"/>
      </w:r>
      <w:r w:rsidRPr="00E51638">
        <w:rPr>
          <w:color w:val="000000" w:themeColor="text1"/>
        </w:rPr>
        <w:t>, todos los poderes del País se instituyen para beneficio del pueblo mexicano</w:t>
      </w:r>
      <w:r w:rsidR="00E75477" w:rsidRPr="00E51638">
        <w:rPr>
          <w:color w:val="000000" w:themeColor="text1"/>
        </w:rPr>
        <w:t xml:space="preserve">, </w:t>
      </w:r>
      <w:r w:rsidRPr="00E51638">
        <w:rPr>
          <w:color w:val="000000" w:themeColor="text1"/>
        </w:rPr>
        <w:t xml:space="preserve">quien tiene la facultad de decidir la forma de gobierno para que se le represente. </w:t>
      </w:r>
    </w:p>
    <w:p w14:paraId="0F71ADF3" w14:textId="23848BDE" w:rsidR="0050662E" w:rsidRPr="00E51638" w:rsidRDefault="0050662E" w:rsidP="0050662E">
      <w:pPr>
        <w:pStyle w:val="Prrafo"/>
        <w:numPr>
          <w:ilvl w:val="0"/>
          <w:numId w:val="6"/>
        </w:numPr>
        <w:spacing w:after="0"/>
        <w:ind w:left="0" w:hanging="567"/>
        <w:rPr>
          <w:color w:val="000000" w:themeColor="text1"/>
        </w:rPr>
      </w:pPr>
      <w:r w:rsidRPr="00E51638">
        <w:rPr>
          <w:color w:val="000000" w:themeColor="text1"/>
        </w:rPr>
        <w:t xml:space="preserve">En ejercicio de este poder soberano, el pueblo mexicano decidió constituirse en una </w:t>
      </w:r>
      <w:r w:rsidRPr="00E51638">
        <w:rPr>
          <w:color w:val="000000" w:themeColor="text1"/>
          <w:u w:val="single"/>
        </w:rPr>
        <w:t>República representativa, democrática</w:t>
      </w:r>
      <w:r w:rsidRPr="00E51638">
        <w:rPr>
          <w:color w:val="000000" w:themeColor="text1"/>
        </w:rPr>
        <w:t>, laica y federal, según los principios fundamentales que establece la propia Constitución Política</w:t>
      </w:r>
      <w:r w:rsidRPr="00E51638">
        <w:rPr>
          <w:rStyle w:val="Refdenotaalpie"/>
          <w:color w:val="000000" w:themeColor="text1"/>
        </w:rPr>
        <w:footnoteReference w:id="37"/>
      </w:r>
      <w:r w:rsidRPr="00E51638">
        <w:rPr>
          <w:color w:val="000000" w:themeColor="text1"/>
        </w:rPr>
        <w:t>. De esta forma, periódicamente el pueblo mexicano delega —a través de las elecciones democráticas— el ejercicio de su poder soberano en representantes populares, quienes tienen el deber de proteger los intereses y trasladar la voluntad popular depositada en las urnas, en todas las decisiones y actos que involucren la vida pública de México y sus entidades federativas.</w:t>
      </w:r>
    </w:p>
    <w:p w14:paraId="2EF68B6E" w14:textId="3BDB5A19" w:rsidR="0050662E" w:rsidRPr="00E51638" w:rsidRDefault="0050662E" w:rsidP="0050662E">
      <w:pPr>
        <w:pStyle w:val="Prrafo"/>
        <w:numPr>
          <w:ilvl w:val="0"/>
          <w:numId w:val="6"/>
        </w:numPr>
        <w:spacing w:after="0"/>
        <w:ind w:left="0" w:hanging="567"/>
        <w:rPr>
          <w:color w:val="000000" w:themeColor="text1"/>
        </w:rPr>
      </w:pPr>
      <w:r w:rsidRPr="00E51638">
        <w:rPr>
          <w:color w:val="000000" w:themeColor="text1"/>
        </w:rPr>
        <w:t>Para ese efecto, en el artículo 41 de la Constitución General</w:t>
      </w:r>
      <w:r w:rsidR="0080412A" w:rsidRPr="00E51638">
        <w:rPr>
          <w:rStyle w:val="Refdenotaalpie"/>
          <w:color w:val="000000" w:themeColor="text1"/>
        </w:rPr>
        <w:footnoteReference w:id="38"/>
      </w:r>
      <w:r w:rsidRPr="00E51638">
        <w:rPr>
          <w:color w:val="000000" w:themeColor="text1"/>
        </w:rPr>
        <w:t xml:space="preserve"> se </w:t>
      </w:r>
      <w:r w:rsidR="0080412A" w:rsidRPr="00E51638">
        <w:rPr>
          <w:color w:val="000000" w:themeColor="text1"/>
        </w:rPr>
        <w:t xml:space="preserve">sostiene que la renovación de los poderes Legislativo y Ejecutivo se llevará a cabo mediante </w:t>
      </w:r>
      <w:r w:rsidR="0080412A" w:rsidRPr="00E51638">
        <w:rPr>
          <w:color w:val="000000" w:themeColor="text1"/>
        </w:rPr>
        <w:lastRenderedPageBreak/>
        <w:t>elecciones libres, auténticas y periódicas, conforme a los requisitos y procedimientos de selección y postulación de candidaturas a cargos de elección popular que determine la Ley General de Instituciones y Procedimientos Electorales.</w:t>
      </w:r>
    </w:p>
    <w:p w14:paraId="73BAC640" w14:textId="11AD5D79" w:rsidR="001F0C2B" w:rsidRPr="00E51638" w:rsidRDefault="0080412A" w:rsidP="001124E6">
      <w:pPr>
        <w:pStyle w:val="Prrafo"/>
        <w:numPr>
          <w:ilvl w:val="0"/>
          <w:numId w:val="6"/>
        </w:numPr>
        <w:spacing w:after="0"/>
        <w:ind w:left="0" w:hanging="567"/>
        <w:rPr>
          <w:color w:val="000000" w:themeColor="text1"/>
        </w:rPr>
      </w:pPr>
      <w:r w:rsidRPr="00E51638">
        <w:rPr>
          <w:color w:val="000000" w:themeColor="text1"/>
        </w:rPr>
        <w:t>Por su parte, e</w:t>
      </w:r>
      <w:r w:rsidR="003B1AFB" w:rsidRPr="00E51638">
        <w:rPr>
          <w:color w:val="000000" w:themeColor="text1"/>
        </w:rPr>
        <w:t>n el artículo 35 de la Constitución General</w:t>
      </w:r>
      <w:r w:rsidR="002B1B96" w:rsidRPr="00E51638">
        <w:rPr>
          <w:rStyle w:val="Refdenotaalpie"/>
          <w:color w:val="000000" w:themeColor="text1"/>
        </w:rPr>
        <w:footnoteReference w:id="39"/>
      </w:r>
      <w:r w:rsidR="003B1AFB" w:rsidRPr="00E51638">
        <w:rPr>
          <w:color w:val="000000" w:themeColor="text1"/>
        </w:rPr>
        <w:t xml:space="preserve"> se reconocen los derechos de participación política de la ciudadanía, como el derecho a votar en las elecciones</w:t>
      </w:r>
      <w:r w:rsidR="002B1B96" w:rsidRPr="00E51638">
        <w:rPr>
          <w:color w:val="000000" w:themeColor="text1"/>
        </w:rPr>
        <w:t xml:space="preserve"> (fracción I)</w:t>
      </w:r>
      <w:r w:rsidR="003B1AFB" w:rsidRPr="00E51638">
        <w:rPr>
          <w:color w:val="000000" w:themeColor="text1"/>
        </w:rPr>
        <w:t>, consultas populares</w:t>
      </w:r>
      <w:r w:rsidR="002B1B96" w:rsidRPr="00E51638">
        <w:rPr>
          <w:color w:val="000000" w:themeColor="text1"/>
        </w:rPr>
        <w:t xml:space="preserve"> (fracción VIII)</w:t>
      </w:r>
      <w:r w:rsidR="003B1AFB" w:rsidRPr="00E51638">
        <w:rPr>
          <w:color w:val="000000" w:themeColor="text1"/>
        </w:rPr>
        <w:t xml:space="preserve"> o revocación de mandato</w:t>
      </w:r>
      <w:r w:rsidR="002B1B96" w:rsidRPr="00E51638">
        <w:rPr>
          <w:color w:val="000000" w:themeColor="text1"/>
        </w:rPr>
        <w:t xml:space="preserve"> (fracción IX), </w:t>
      </w:r>
      <w:r w:rsidR="00463CF2" w:rsidRPr="00E51638">
        <w:rPr>
          <w:color w:val="000000" w:themeColor="text1"/>
        </w:rPr>
        <w:t xml:space="preserve">el derecho </w:t>
      </w:r>
      <w:r w:rsidR="002B1B96" w:rsidRPr="00E51638">
        <w:rPr>
          <w:color w:val="000000" w:themeColor="text1"/>
        </w:rPr>
        <w:t xml:space="preserve">de asociación (fracción III), </w:t>
      </w:r>
      <w:r w:rsidR="00463CF2" w:rsidRPr="00E51638">
        <w:rPr>
          <w:color w:val="000000" w:themeColor="text1"/>
        </w:rPr>
        <w:t xml:space="preserve">el </w:t>
      </w:r>
      <w:r w:rsidR="00463CF2" w:rsidRPr="00E51638">
        <w:rPr>
          <w:b/>
          <w:bCs/>
          <w:color w:val="000000" w:themeColor="text1"/>
        </w:rPr>
        <w:t xml:space="preserve">derecho </w:t>
      </w:r>
      <w:r w:rsidR="002B1B96" w:rsidRPr="00E51638">
        <w:rPr>
          <w:b/>
          <w:bCs/>
          <w:color w:val="000000" w:themeColor="text1"/>
        </w:rPr>
        <w:t xml:space="preserve">de acceso a la función pública </w:t>
      </w:r>
      <w:r w:rsidR="002B1B96" w:rsidRPr="00E51638">
        <w:rPr>
          <w:color w:val="000000" w:themeColor="text1"/>
        </w:rPr>
        <w:t xml:space="preserve">(fracción VI) y </w:t>
      </w:r>
      <w:r w:rsidR="00463CF2" w:rsidRPr="00E51638">
        <w:rPr>
          <w:color w:val="000000" w:themeColor="text1"/>
        </w:rPr>
        <w:t xml:space="preserve">el </w:t>
      </w:r>
      <w:r w:rsidR="00463CF2" w:rsidRPr="00E51638">
        <w:rPr>
          <w:b/>
          <w:bCs/>
          <w:color w:val="000000" w:themeColor="text1"/>
        </w:rPr>
        <w:t xml:space="preserve">derecho </w:t>
      </w:r>
      <w:r w:rsidR="002B1B96" w:rsidRPr="00E51638">
        <w:rPr>
          <w:b/>
          <w:bCs/>
          <w:color w:val="000000" w:themeColor="text1"/>
        </w:rPr>
        <w:t>a</w:t>
      </w:r>
      <w:r w:rsidR="002B1B96" w:rsidRPr="00E51638">
        <w:rPr>
          <w:color w:val="000000" w:themeColor="text1"/>
        </w:rPr>
        <w:t xml:space="preserve"> </w:t>
      </w:r>
      <w:r w:rsidR="002B1B96" w:rsidRPr="00E51638">
        <w:rPr>
          <w:b/>
          <w:bCs/>
          <w:color w:val="000000" w:themeColor="text1"/>
        </w:rPr>
        <w:t xml:space="preserve">ser votado para algún cargo de elección popular </w:t>
      </w:r>
      <w:r w:rsidR="002B1B96" w:rsidRPr="00E51638">
        <w:rPr>
          <w:color w:val="000000" w:themeColor="text1"/>
        </w:rPr>
        <w:t>(fracción II).</w:t>
      </w:r>
    </w:p>
    <w:p w14:paraId="3567D88C" w14:textId="03FE20EB" w:rsidR="00A272C5" w:rsidRPr="00E51638" w:rsidRDefault="005D0ADE" w:rsidP="00284495">
      <w:pPr>
        <w:pStyle w:val="Prrafo"/>
        <w:numPr>
          <w:ilvl w:val="0"/>
          <w:numId w:val="6"/>
        </w:numPr>
        <w:spacing w:after="0"/>
        <w:ind w:left="0" w:hanging="567"/>
        <w:rPr>
          <w:color w:val="000000" w:themeColor="text1"/>
        </w:rPr>
      </w:pPr>
      <w:r w:rsidRPr="00E51638">
        <w:rPr>
          <w:color w:val="000000" w:themeColor="text1"/>
        </w:rPr>
        <w:t>Con relación a los derechos a votar y ser votado, este Alto Tribunal ha reconocido</w:t>
      </w:r>
      <w:r w:rsidR="00284495" w:rsidRPr="00E51638">
        <w:rPr>
          <w:rStyle w:val="Refdenotaalpie"/>
          <w:color w:val="000000" w:themeColor="text1"/>
        </w:rPr>
        <w:footnoteReference w:id="40"/>
      </w:r>
      <w:r w:rsidRPr="00E51638">
        <w:rPr>
          <w:color w:val="000000" w:themeColor="text1"/>
        </w:rPr>
        <w:t xml:space="preserve"> que se trata de verdaderos derechos fundamentales de corte </w:t>
      </w:r>
      <w:r w:rsidRPr="00E51638">
        <w:rPr>
          <w:color w:val="000000" w:themeColor="text1"/>
        </w:rPr>
        <w:lastRenderedPageBreak/>
        <w:t>político-electoral</w:t>
      </w:r>
      <w:r w:rsidR="00D17180" w:rsidRPr="00E51638">
        <w:rPr>
          <w:color w:val="000000" w:themeColor="text1"/>
        </w:rPr>
        <w:t xml:space="preserve">. </w:t>
      </w:r>
      <w:r w:rsidRPr="00E51638">
        <w:rPr>
          <w:color w:val="000000" w:themeColor="text1"/>
        </w:rPr>
        <w:t>Se trata de derechos que participan de la posición de supremacía que tiene el artículo 35 constitucional, de lo que deriva que su núcleo esencial es indisponible para los poderes constituidos y, además, son fundamentales porque guardan una relación de interdependencia con los demás derechos humanos reconocidos en la Constitución General.</w:t>
      </w:r>
    </w:p>
    <w:p w14:paraId="07197A60" w14:textId="56196008" w:rsidR="005D0ADE" w:rsidRPr="00E51638" w:rsidRDefault="005D0ADE" w:rsidP="00AF7F7D">
      <w:pPr>
        <w:pStyle w:val="Prrafo"/>
        <w:numPr>
          <w:ilvl w:val="0"/>
          <w:numId w:val="6"/>
        </w:numPr>
        <w:spacing w:after="0"/>
        <w:ind w:left="0" w:hanging="567"/>
        <w:rPr>
          <w:color w:val="000000" w:themeColor="text1"/>
        </w:rPr>
      </w:pPr>
      <w:r w:rsidRPr="00E51638">
        <w:rPr>
          <w:color w:val="000000" w:themeColor="text1"/>
        </w:rPr>
        <w:t>Por esta razón, al tratarse de auténticos derechos humanos de participación política, gozan de la protección constitucional reforzada que la Norma Fundamental le ha encomendado proteger a</w:t>
      </w:r>
      <w:r w:rsidR="00A13E21" w:rsidRPr="00E51638">
        <w:rPr>
          <w:color w:val="000000" w:themeColor="text1"/>
        </w:rPr>
        <w:t xml:space="preserve"> la jurisdicción constitucional mexicana mediante las correspondientes vías impugnativas a cargo de</w:t>
      </w:r>
      <w:r w:rsidRPr="00E51638">
        <w:rPr>
          <w:color w:val="000000" w:themeColor="text1"/>
        </w:rPr>
        <w:t xml:space="preserve">l Tribunal Electoral del Poder Judicial de la Federación </w:t>
      </w:r>
      <w:r w:rsidR="00A13E21" w:rsidRPr="00E51638">
        <w:rPr>
          <w:color w:val="000000" w:themeColor="text1"/>
        </w:rPr>
        <w:t>de la Suprema Corte de Justicia de la Nación</w:t>
      </w:r>
      <w:r w:rsidRPr="00E51638">
        <w:rPr>
          <w:color w:val="000000" w:themeColor="text1"/>
        </w:rPr>
        <w:t>.</w:t>
      </w:r>
    </w:p>
    <w:p w14:paraId="68475CDE" w14:textId="6C426679" w:rsidR="00DA60DB" w:rsidRPr="00E51638" w:rsidRDefault="00DA60DB" w:rsidP="00AF7F7D">
      <w:pPr>
        <w:pStyle w:val="Prrafo"/>
        <w:numPr>
          <w:ilvl w:val="0"/>
          <w:numId w:val="6"/>
        </w:numPr>
        <w:spacing w:after="0"/>
        <w:ind w:left="0" w:hanging="567"/>
        <w:rPr>
          <w:color w:val="000000" w:themeColor="text1"/>
        </w:rPr>
      </w:pPr>
      <w:r w:rsidRPr="00E51638">
        <w:rPr>
          <w:color w:val="000000" w:themeColor="text1"/>
        </w:rPr>
        <w:t xml:space="preserve">Ahora bien, el derecho </w:t>
      </w:r>
      <w:r w:rsidR="0073600D" w:rsidRPr="00E51638">
        <w:rPr>
          <w:color w:val="000000" w:themeColor="text1"/>
        </w:rPr>
        <w:t>a</w:t>
      </w:r>
      <w:r w:rsidRPr="00E51638">
        <w:rPr>
          <w:color w:val="000000" w:themeColor="text1"/>
        </w:rPr>
        <w:t xml:space="preserve"> ser votado en elecciones democráticas no se limita </w:t>
      </w:r>
      <w:r w:rsidR="004F16C9" w:rsidRPr="00E51638">
        <w:rPr>
          <w:color w:val="000000" w:themeColor="text1"/>
        </w:rPr>
        <w:t>a postularse y contender en elecciones</w:t>
      </w:r>
      <w:r w:rsidR="00D17180" w:rsidRPr="00E51638">
        <w:rPr>
          <w:color w:val="000000" w:themeColor="text1"/>
        </w:rPr>
        <w:t xml:space="preserve">. </w:t>
      </w:r>
      <w:r w:rsidR="004F16C9" w:rsidRPr="00E51638">
        <w:rPr>
          <w:color w:val="000000" w:themeColor="text1"/>
        </w:rPr>
        <w:t>Se trata de un derecho humano de corte político-electoral mucho más complejo</w:t>
      </w:r>
      <w:r w:rsidR="00D83803" w:rsidRPr="00E51638">
        <w:rPr>
          <w:color w:val="000000" w:themeColor="text1"/>
        </w:rPr>
        <w:t xml:space="preserve"> que </w:t>
      </w:r>
      <w:r w:rsidR="00B10AB8" w:rsidRPr="00E51638">
        <w:rPr>
          <w:b/>
          <w:bCs/>
          <w:color w:val="000000" w:themeColor="text1"/>
          <w:u w:val="single"/>
        </w:rPr>
        <w:t xml:space="preserve">comprende el derecho </w:t>
      </w:r>
      <w:r w:rsidR="00DA0068" w:rsidRPr="00E51638">
        <w:rPr>
          <w:b/>
          <w:bCs/>
          <w:color w:val="000000" w:themeColor="text1"/>
          <w:u w:val="single"/>
        </w:rPr>
        <w:t xml:space="preserve">de la ciudadanía </w:t>
      </w:r>
      <w:r w:rsidR="00B10AB8" w:rsidRPr="00E51638">
        <w:rPr>
          <w:b/>
          <w:bCs/>
          <w:color w:val="000000" w:themeColor="text1"/>
          <w:u w:val="single"/>
        </w:rPr>
        <w:t>a ser postulad</w:t>
      </w:r>
      <w:r w:rsidR="00DA0068" w:rsidRPr="00E51638">
        <w:rPr>
          <w:b/>
          <w:bCs/>
          <w:color w:val="000000" w:themeColor="text1"/>
          <w:u w:val="single"/>
        </w:rPr>
        <w:t>a</w:t>
      </w:r>
      <w:r w:rsidR="00B10AB8" w:rsidRPr="00E51638">
        <w:rPr>
          <w:b/>
          <w:bCs/>
          <w:color w:val="000000" w:themeColor="text1"/>
          <w:u w:val="single"/>
        </w:rPr>
        <w:t xml:space="preserve"> en una candidatura y, en caso de resultar vencedor</w:t>
      </w:r>
      <w:r w:rsidR="00DA0068" w:rsidRPr="00E51638">
        <w:rPr>
          <w:b/>
          <w:bCs/>
          <w:color w:val="000000" w:themeColor="text1"/>
          <w:u w:val="single"/>
        </w:rPr>
        <w:t>a</w:t>
      </w:r>
      <w:r w:rsidR="00B10AB8" w:rsidRPr="00E51638">
        <w:rPr>
          <w:b/>
          <w:bCs/>
          <w:color w:val="000000" w:themeColor="text1"/>
          <w:u w:val="single"/>
        </w:rPr>
        <w:t xml:space="preserve"> en la elección, a ser proclamad</w:t>
      </w:r>
      <w:r w:rsidR="00DA0068" w:rsidRPr="00E51638">
        <w:rPr>
          <w:b/>
          <w:bCs/>
          <w:color w:val="000000" w:themeColor="text1"/>
          <w:u w:val="single"/>
        </w:rPr>
        <w:t>a</w:t>
      </w:r>
      <w:r w:rsidR="00B10AB8" w:rsidRPr="00E51638">
        <w:rPr>
          <w:b/>
          <w:bCs/>
          <w:color w:val="000000" w:themeColor="text1"/>
          <w:u w:val="single"/>
        </w:rPr>
        <w:t xml:space="preserve"> elect</w:t>
      </w:r>
      <w:r w:rsidR="00DA0068" w:rsidRPr="00E51638">
        <w:rPr>
          <w:b/>
          <w:bCs/>
          <w:color w:val="000000" w:themeColor="text1"/>
          <w:u w:val="single"/>
        </w:rPr>
        <w:t>a</w:t>
      </w:r>
      <w:r w:rsidR="00B10AB8" w:rsidRPr="00E51638">
        <w:rPr>
          <w:b/>
          <w:bCs/>
          <w:color w:val="000000" w:themeColor="text1"/>
          <w:u w:val="single"/>
        </w:rPr>
        <w:t xml:space="preserve"> conforme a la votación emitida, lo cual se traduce en el derecho a ocupar y ejercer las funciones inherentes al cargo en condiciones de igualdad</w:t>
      </w:r>
      <w:r w:rsidR="00B10AB8" w:rsidRPr="00E51638">
        <w:rPr>
          <w:color w:val="000000" w:themeColor="text1"/>
        </w:rPr>
        <w:t>.</w:t>
      </w:r>
    </w:p>
    <w:p w14:paraId="72F98E2A" w14:textId="4365CE0A" w:rsidR="001E4213" w:rsidRPr="00E51638" w:rsidRDefault="001E4213" w:rsidP="00AF7F7D">
      <w:pPr>
        <w:pStyle w:val="Prrafo"/>
        <w:numPr>
          <w:ilvl w:val="0"/>
          <w:numId w:val="6"/>
        </w:numPr>
        <w:spacing w:after="0"/>
        <w:ind w:left="0" w:hanging="567"/>
        <w:rPr>
          <w:color w:val="000000" w:themeColor="text1"/>
        </w:rPr>
      </w:pPr>
      <w:r w:rsidRPr="00E51638">
        <w:rPr>
          <w:color w:val="000000" w:themeColor="text1"/>
        </w:rPr>
        <w:t>El artículo 35, fracciones II y VI, de la Constitución Política reconoce el derecho de la ciudadanía mexicana de ser votada en elecciones populares y de acceder a la función pública en condiciones de igualdad</w:t>
      </w:r>
      <w:r w:rsidR="00D17180" w:rsidRPr="00E51638">
        <w:rPr>
          <w:color w:val="000000" w:themeColor="text1"/>
        </w:rPr>
        <w:t xml:space="preserve">. </w:t>
      </w:r>
      <w:r w:rsidRPr="00E51638">
        <w:rPr>
          <w:color w:val="000000" w:themeColor="text1"/>
        </w:rPr>
        <w:t xml:space="preserve">Estos dos derechos —que por mandato del artículo 1º constitucional son interdependientes y están interrelacionados— para poder ser efectivos deben ser entendidos en el sentido de que </w:t>
      </w:r>
      <w:r w:rsidRPr="00E51638">
        <w:rPr>
          <w:b/>
          <w:bCs/>
          <w:color w:val="000000" w:themeColor="text1"/>
          <w:u w:val="single"/>
        </w:rPr>
        <w:t xml:space="preserve">el derecho a ser votado en elecciones democráticas implica, necesariamente, el derecho a mantenerse en el cargo y a desempeñarlo de </w:t>
      </w:r>
      <w:r w:rsidRPr="00E51638">
        <w:rPr>
          <w:b/>
          <w:bCs/>
          <w:color w:val="000000" w:themeColor="text1"/>
          <w:u w:val="single"/>
        </w:rPr>
        <w:lastRenderedPageBreak/>
        <w:t>acuerdo con lo previsto en la Constitución y leyes secundarias</w:t>
      </w:r>
      <w:r w:rsidR="0073600D" w:rsidRPr="00E51638">
        <w:rPr>
          <w:b/>
          <w:bCs/>
          <w:color w:val="000000" w:themeColor="text1"/>
          <w:u w:val="single"/>
        </w:rPr>
        <w:t xml:space="preserve"> y reglamentos de las Cámaras del Congreso de la Unión</w:t>
      </w:r>
      <w:r w:rsidRPr="00E51638">
        <w:rPr>
          <w:color w:val="000000" w:themeColor="text1"/>
        </w:rPr>
        <w:t>.</w:t>
      </w:r>
    </w:p>
    <w:p w14:paraId="2331D508" w14:textId="75F6ECFF" w:rsidR="002253DD" w:rsidRPr="00E51638" w:rsidRDefault="00463CF2" w:rsidP="00AF7F7D">
      <w:pPr>
        <w:pStyle w:val="Prrafo"/>
        <w:numPr>
          <w:ilvl w:val="0"/>
          <w:numId w:val="6"/>
        </w:numPr>
        <w:spacing w:after="0"/>
        <w:ind w:left="0" w:hanging="567"/>
        <w:rPr>
          <w:color w:val="000000" w:themeColor="text1"/>
        </w:rPr>
      </w:pPr>
      <w:r w:rsidRPr="00E51638">
        <w:rPr>
          <w:color w:val="000000" w:themeColor="text1"/>
        </w:rPr>
        <w:t xml:space="preserve">Esta concepción </w:t>
      </w:r>
      <w:r w:rsidR="002253DD" w:rsidRPr="00E51638">
        <w:rPr>
          <w:color w:val="000000" w:themeColor="text1"/>
        </w:rPr>
        <w:t>integral</w:t>
      </w:r>
      <w:r w:rsidRPr="00E51638">
        <w:rPr>
          <w:color w:val="000000" w:themeColor="text1"/>
        </w:rPr>
        <w:t xml:space="preserve"> de los derechos de participación política es necesaria en un Estado constitucional de Derecho, pues si se entendiera el derecho a ser votado en forma aislada y como un fin en sí mismo, esa interpretación vaciaría de contenido los derechos y </w:t>
      </w:r>
      <w:r w:rsidR="00761F6F" w:rsidRPr="00E51638">
        <w:rPr>
          <w:color w:val="000000" w:themeColor="text1"/>
        </w:rPr>
        <w:t>haría que la participación política fuera ilusoria.</w:t>
      </w:r>
    </w:p>
    <w:p w14:paraId="241E4B3D" w14:textId="64297879" w:rsidR="00463CF2" w:rsidRPr="00E51638" w:rsidRDefault="002253DD" w:rsidP="00AF7F7D">
      <w:pPr>
        <w:pStyle w:val="Prrafo"/>
        <w:numPr>
          <w:ilvl w:val="0"/>
          <w:numId w:val="6"/>
        </w:numPr>
        <w:spacing w:after="0"/>
        <w:ind w:left="0" w:hanging="567"/>
        <w:rPr>
          <w:color w:val="000000" w:themeColor="text1"/>
        </w:rPr>
      </w:pPr>
      <w:r w:rsidRPr="00E51638">
        <w:rPr>
          <w:color w:val="000000" w:themeColor="text1"/>
        </w:rPr>
        <w:t xml:space="preserve">En efecto, </w:t>
      </w:r>
      <w:r w:rsidRPr="00E51638">
        <w:rPr>
          <w:b/>
          <w:bCs/>
          <w:color w:val="000000" w:themeColor="text1"/>
          <w:u w:val="single"/>
        </w:rPr>
        <w:t>los derechos de participación política del artículo 35 constitucional no garantizan únicamente el acceso en condiciones de igualdad a los cargos públicos</w:t>
      </w:r>
      <w:r w:rsidR="00675F36" w:rsidRPr="00E51638">
        <w:rPr>
          <w:b/>
          <w:bCs/>
          <w:color w:val="000000" w:themeColor="text1"/>
          <w:u w:val="single"/>
        </w:rPr>
        <w:t>, sino también que quienes hayan accedido a esos cargos se mantengan en ellos sin perturbaciones ilegítimas</w:t>
      </w:r>
      <w:r w:rsidR="001760ED" w:rsidRPr="00E51638">
        <w:rPr>
          <w:b/>
          <w:bCs/>
          <w:color w:val="000000" w:themeColor="text1"/>
          <w:u w:val="single"/>
        </w:rPr>
        <w:t>,</w:t>
      </w:r>
      <w:r w:rsidR="00675F36" w:rsidRPr="00E51638">
        <w:rPr>
          <w:b/>
          <w:bCs/>
          <w:color w:val="000000" w:themeColor="text1"/>
          <w:u w:val="single"/>
        </w:rPr>
        <w:t xml:space="preserve"> y puedan desempeñarlos de conformidad con las </w:t>
      </w:r>
      <w:r w:rsidR="0073600D" w:rsidRPr="00E51638">
        <w:rPr>
          <w:b/>
          <w:bCs/>
          <w:color w:val="000000" w:themeColor="text1"/>
          <w:u w:val="single"/>
        </w:rPr>
        <w:t>normas</w:t>
      </w:r>
      <w:r w:rsidR="00675F36" w:rsidRPr="00E51638">
        <w:rPr>
          <w:b/>
          <w:bCs/>
          <w:color w:val="000000" w:themeColor="text1"/>
          <w:u w:val="single"/>
        </w:rPr>
        <w:t xml:space="preserve"> correspondientes</w:t>
      </w:r>
      <w:r w:rsidR="00675F36" w:rsidRPr="00E51638">
        <w:rPr>
          <w:color w:val="000000" w:themeColor="text1"/>
        </w:rPr>
        <w:t>; pues de no ser así, los derechos de participación política carecerían de eficacia.</w:t>
      </w:r>
    </w:p>
    <w:p w14:paraId="1B3BBD09" w14:textId="4B4ED39A" w:rsidR="003F2D5F" w:rsidRPr="00E51638" w:rsidRDefault="003F2D5F" w:rsidP="003F2D5F">
      <w:pPr>
        <w:pStyle w:val="Prrafo"/>
        <w:numPr>
          <w:ilvl w:val="0"/>
          <w:numId w:val="6"/>
        </w:numPr>
        <w:spacing w:after="0"/>
        <w:ind w:left="0" w:hanging="567"/>
        <w:rPr>
          <w:color w:val="000000" w:themeColor="text1"/>
        </w:rPr>
      </w:pPr>
      <w:r w:rsidRPr="00E51638">
        <w:rPr>
          <w:color w:val="000000" w:themeColor="text1"/>
        </w:rPr>
        <w:t xml:space="preserve">En el caso de los órganos parlamentarios (Congreso de la Unión y sus Cámaras de Diputados y Senadores, así como legislaturas estatales), </w:t>
      </w:r>
      <w:r w:rsidR="007F4AAD" w:rsidRPr="00E51638">
        <w:rPr>
          <w:color w:val="000000" w:themeColor="text1"/>
        </w:rPr>
        <w:t>el derecho a ser votado y a desempeñar e</w:t>
      </w:r>
      <w:r w:rsidRPr="00E51638">
        <w:rPr>
          <w:color w:val="000000" w:themeColor="text1"/>
        </w:rPr>
        <w:t xml:space="preserve">l cargo </w:t>
      </w:r>
      <w:r w:rsidR="007F4AAD" w:rsidRPr="00E51638">
        <w:rPr>
          <w:color w:val="000000" w:themeColor="text1"/>
        </w:rPr>
        <w:t xml:space="preserve">público </w:t>
      </w:r>
      <w:r w:rsidRPr="00E51638">
        <w:rPr>
          <w:color w:val="000000" w:themeColor="text1"/>
        </w:rPr>
        <w:t>se incardina</w:t>
      </w:r>
      <w:r w:rsidR="00951C05" w:rsidRPr="00E51638">
        <w:rPr>
          <w:color w:val="000000" w:themeColor="text1"/>
        </w:rPr>
        <w:t xml:space="preserve"> en lo que la jurisprudencia </w:t>
      </w:r>
      <w:r w:rsidR="001760ED" w:rsidRPr="00E51638">
        <w:rPr>
          <w:color w:val="000000" w:themeColor="text1"/>
        </w:rPr>
        <w:t>comparada</w:t>
      </w:r>
      <w:r w:rsidR="00951C05" w:rsidRPr="00E51638">
        <w:rPr>
          <w:color w:val="000000" w:themeColor="text1"/>
        </w:rPr>
        <w:t xml:space="preserve"> ha denominado </w:t>
      </w:r>
      <w:r w:rsidR="007F4AAD" w:rsidRPr="00E51638">
        <w:rPr>
          <w:i/>
          <w:iCs/>
          <w:color w:val="000000" w:themeColor="text1"/>
        </w:rPr>
        <w:t>ius in officium</w:t>
      </w:r>
      <w:r w:rsidR="007F4AAD" w:rsidRPr="00E51638">
        <w:rPr>
          <w:rStyle w:val="Refdenotaalpie"/>
          <w:color w:val="000000" w:themeColor="text1"/>
        </w:rPr>
        <w:footnoteReference w:id="41"/>
      </w:r>
      <w:r w:rsidR="007F4AAD" w:rsidRPr="00E51638">
        <w:rPr>
          <w:i/>
          <w:iCs/>
          <w:color w:val="000000" w:themeColor="text1"/>
        </w:rPr>
        <w:t xml:space="preserve"> </w:t>
      </w:r>
      <w:r w:rsidR="007F4AAD" w:rsidRPr="00E51638">
        <w:rPr>
          <w:color w:val="000000" w:themeColor="text1"/>
        </w:rPr>
        <w:t xml:space="preserve">y consiste en proteger el núcleo esencial de la función representativa, es decir, </w:t>
      </w:r>
      <w:r w:rsidR="00BB11B0" w:rsidRPr="00E51638">
        <w:rPr>
          <w:color w:val="000000" w:themeColor="text1"/>
        </w:rPr>
        <w:t>preservar las facultades de los parlamentarios para ejercer su encargo sin obstrucciones ilegítimas o indebidas.</w:t>
      </w:r>
    </w:p>
    <w:p w14:paraId="54CA22E3" w14:textId="67DE2238" w:rsidR="00BB11B0" w:rsidRPr="00E51638" w:rsidRDefault="00BB11B0" w:rsidP="003F2D5F">
      <w:pPr>
        <w:pStyle w:val="Prrafo"/>
        <w:numPr>
          <w:ilvl w:val="0"/>
          <w:numId w:val="6"/>
        </w:numPr>
        <w:spacing w:after="0"/>
        <w:ind w:left="0" w:hanging="567"/>
        <w:rPr>
          <w:color w:val="000000" w:themeColor="text1"/>
        </w:rPr>
      </w:pPr>
      <w:r w:rsidRPr="00E51638">
        <w:rPr>
          <w:color w:val="000000" w:themeColor="text1"/>
        </w:rPr>
        <w:t xml:space="preserve">Por ejemplo, el Tribunal Constitucional de España ha considerado que el </w:t>
      </w:r>
      <w:r w:rsidRPr="00E51638">
        <w:rPr>
          <w:i/>
          <w:iCs/>
          <w:color w:val="000000" w:themeColor="text1"/>
        </w:rPr>
        <w:t xml:space="preserve">ius in officium </w:t>
      </w:r>
      <w:r w:rsidR="00846C56" w:rsidRPr="00E51638">
        <w:rPr>
          <w:color w:val="000000" w:themeColor="text1"/>
        </w:rPr>
        <w:t xml:space="preserve">protege todos los derechos o prerrogativas que, conforme a las leyes secundarias y reglamentos parlamentarios competentes, le hayan sido conferidos a los parlamentarios, de tal suerte que una vez </w:t>
      </w:r>
      <w:r w:rsidR="0073600D" w:rsidRPr="00E51638">
        <w:rPr>
          <w:color w:val="000000" w:themeColor="text1"/>
        </w:rPr>
        <w:t>reconocidos</w:t>
      </w:r>
      <w:r w:rsidR="00846C56" w:rsidRPr="00E51638">
        <w:rPr>
          <w:color w:val="000000" w:themeColor="text1"/>
        </w:rPr>
        <w:t xml:space="preserve"> esos derechos, pasan a formar parte del estatus propio del cargo de parlamentario</w:t>
      </w:r>
      <w:r w:rsidR="00846C56" w:rsidRPr="00E51638">
        <w:rPr>
          <w:rStyle w:val="Refdenotaalpie"/>
          <w:color w:val="000000" w:themeColor="text1"/>
        </w:rPr>
        <w:footnoteReference w:id="42"/>
      </w:r>
      <w:r w:rsidR="00846C56" w:rsidRPr="00E51638">
        <w:rPr>
          <w:color w:val="000000" w:themeColor="text1"/>
        </w:rPr>
        <w:t>.</w:t>
      </w:r>
    </w:p>
    <w:p w14:paraId="3D74B49C" w14:textId="0D8CE078" w:rsidR="00EE63D4" w:rsidRPr="00E51638" w:rsidRDefault="00DE4055" w:rsidP="00EE63D4">
      <w:pPr>
        <w:pStyle w:val="Prrafo"/>
        <w:numPr>
          <w:ilvl w:val="0"/>
          <w:numId w:val="6"/>
        </w:numPr>
        <w:spacing w:after="0"/>
        <w:ind w:left="0" w:hanging="567"/>
        <w:rPr>
          <w:color w:val="000000" w:themeColor="text1"/>
        </w:rPr>
      </w:pPr>
      <w:r w:rsidRPr="00E51638">
        <w:rPr>
          <w:color w:val="000000" w:themeColor="text1"/>
        </w:rPr>
        <w:lastRenderedPageBreak/>
        <w:t xml:space="preserve">De este modo, </w:t>
      </w:r>
      <w:r w:rsidR="00A65B44" w:rsidRPr="00E51638">
        <w:rPr>
          <w:color w:val="000000" w:themeColor="text1"/>
        </w:rPr>
        <w:t xml:space="preserve">el </w:t>
      </w:r>
      <w:r w:rsidR="00A65B44" w:rsidRPr="00E51638">
        <w:rPr>
          <w:b/>
          <w:bCs/>
          <w:color w:val="000000" w:themeColor="text1"/>
        </w:rPr>
        <w:t>núcleo esencial de la función representativa</w:t>
      </w:r>
      <w:r w:rsidR="00A65B44" w:rsidRPr="00E51638">
        <w:rPr>
          <w:color w:val="000000" w:themeColor="text1"/>
        </w:rPr>
        <w:t xml:space="preserve"> abarca el derecho de los parlamentarios de ejercer todas las funciones que la legislación les confiere, que básicamente </w:t>
      </w:r>
      <w:r w:rsidR="001760ED" w:rsidRPr="00E51638">
        <w:rPr>
          <w:color w:val="000000" w:themeColor="text1"/>
        </w:rPr>
        <w:t xml:space="preserve">se materializan en la </w:t>
      </w:r>
      <w:r w:rsidR="001760ED" w:rsidRPr="00E51638">
        <w:rPr>
          <w:b/>
          <w:bCs/>
          <w:color w:val="000000" w:themeColor="text1"/>
        </w:rPr>
        <w:t>labor de</w:t>
      </w:r>
      <w:r w:rsidR="00A65B44" w:rsidRPr="00E51638">
        <w:rPr>
          <w:b/>
          <w:bCs/>
          <w:color w:val="000000" w:themeColor="text1"/>
        </w:rPr>
        <w:t xml:space="preserve"> creación </w:t>
      </w:r>
      <w:r w:rsidR="001760ED" w:rsidRPr="00E51638">
        <w:rPr>
          <w:b/>
          <w:bCs/>
          <w:color w:val="000000" w:themeColor="text1"/>
        </w:rPr>
        <w:t>normativa</w:t>
      </w:r>
      <w:r w:rsidR="00EE63D4" w:rsidRPr="00E51638">
        <w:rPr>
          <w:color w:val="000000" w:themeColor="text1"/>
        </w:rPr>
        <w:t xml:space="preserve"> (artículos 70, 71 y 72 de la Constitución General)</w:t>
      </w:r>
      <w:r w:rsidR="001760ED" w:rsidRPr="00E51638">
        <w:rPr>
          <w:color w:val="000000" w:themeColor="text1"/>
        </w:rPr>
        <w:t xml:space="preserve"> y en el </w:t>
      </w:r>
      <w:r w:rsidR="001760ED" w:rsidRPr="00E51638">
        <w:rPr>
          <w:b/>
          <w:bCs/>
          <w:color w:val="000000" w:themeColor="text1"/>
        </w:rPr>
        <w:t>control del gobierno</w:t>
      </w:r>
      <w:r w:rsidR="00620585" w:rsidRPr="00E51638">
        <w:rPr>
          <w:color w:val="000000" w:themeColor="text1"/>
        </w:rPr>
        <w:t xml:space="preserve"> </w:t>
      </w:r>
      <w:r w:rsidR="00EE63D4" w:rsidRPr="00E51638">
        <w:rPr>
          <w:color w:val="000000" w:themeColor="text1"/>
        </w:rPr>
        <w:t>(artículos 69 y 93</w:t>
      </w:r>
      <w:r w:rsidR="003C2FA9" w:rsidRPr="00E51638">
        <w:rPr>
          <w:color w:val="000000" w:themeColor="text1"/>
        </w:rPr>
        <w:t xml:space="preserve"> constitucionales</w:t>
      </w:r>
      <w:r w:rsidR="00EE63D4" w:rsidRPr="00E51638">
        <w:rPr>
          <w:color w:val="000000" w:themeColor="text1"/>
        </w:rPr>
        <w:t>)</w:t>
      </w:r>
      <w:r w:rsidR="00A65B44" w:rsidRPr="00E51638">
        <w:rPr>
          <w:color w:val="000000" w:themeColor="text1"/>
        </w:rPr>
        <w:t>.</w:t>
      </w:r>
    </w:p>
    <w:p w14:paraId="1BA60906" w14:textId="77777777" w:rsidR="00C52B90" w:rsidRDefault="00C52B90" w:rsidP="00850A1B">
      <w:pPr>
        <w:pStyle w:val="Prrafo"/>
        <w:spacing w:after="0"/>
        <w:outlineLvl w:val="4"/>
        <w:rPr>
          <w:b/>
          <w:bCs/>
          <w:color w:val="000000" w:themeColor="text1"/>
        </w:rPr>
      </w:pPr>
      <w:bookmarkStart w:id="73" w:name="_Toc108556669"/>
      <w:bookmarkStart w:id="74" w:name="_Toc108630506"/>
      <w:bookmarkStart w:id="75" w:name="_Toc108795871"/>
      <w:bookmarkStart w:id="76" w:name="_Toc109004125"/>
      <w:bookmarkStart w:id="77" w:name="_Toc113984443"/>
    </w:p>
    <w:p w14:paraId="65DA8486" w14:textId="3E248F9B" w:rsidR="00583883" w:rsidRPr="00E51638" w:rsidRDefault="00583883" w:rsidP="00C52B90">
      <w:pPr>
        <w:pStyle w:val="Prrafo"/>
        <w:outlineLvl w:val="4"/>
        <w:rPr>
          <w:b/>
          <w:color w:val="000000" w:themeColor="text1"/>
        </w:rPr>
      </w:pPr>
      <w:r w:rsidRPr="00E51638">
        <w:rPr>
          <w:b/>
          <w:bCs/>
          <w:color w:val="000000" w:themeColor="text1"/>
        </w:rPr>
        <w:t>C. Tutela jurisdiccional del derecho de acceso y desempeño de la función parlamentaria (</w:t>
      </w:r>
      <w:r w:rsidRPr="00E51638">
        <w:rPr>
          <w:b/>
          <w:bCs/>
          <w:i/>
          <w:iCs/>
          <w:color w:val="000000" w:themeColor="text1"/>
        </w:rPr>
        <w:t>ius in officium</w:t>
      </w:r>
      <w:r w:rsidR="00B878E8" w:rsidRPr="00E51638">
        <w:rPr>
          <w:b/>
          <w:bCs/>
          <w:i/>
          <w:iCs/>
          <w:color w:val="000000" w:themeColor="text1"/>
        </w:rPr>
        <w:t xml:space="preserve"> y el núcleo de la función representativa</w:t>
      </w:r>
      <w:r w:rsidRPr="00E51638">
        <w:rPr>
          <w:b/>
          <w:bCs/>
          <w:color w:val="000000" w:themeColor="text1"/>
        </w:rPr>
        <w:t>)</w:t>
      </w:r>
      <w:r w:rsidRPr="00E51638">
        <w:rPr>
          <w:color w:val="000000" w:themeColor="text1"/>
        </w:rPr>
        <w:t>.</w:t>
      </w:r>
      <w:bookmarkEnd w:id="73"/>
      <w:bookmarkEnd w:id="74"/>
      <w:bookmarkEnd w:id="75"/>
      <w:bookmarkEnd w:id="76"/>
      <w:bookmarkEnd w:id="77"/>
    </w:p>
    <w:p w14:paraId="6A5582B3" w14:textId="5936681B" w:rsidR="00A65B44" w:rsidRPr="00E51638" w:rsidRDefault="00A65B44" w:rsidP="00A65B44">
      <w:pPr>
        <w:pStyle w:val="Prrafo"/>
        <w:numPr>
          <w:ilvl w:val="0"/>
          <w:numId w:val="6"/>
        </w:numPr>
        <w:spacing w:after="0"/>
        <w:ind w:left="0" w:hanging="567"/>
        <w:rPr>
          <w:color w:val="000000" w:themeColor="text1"/>
        </w:rPr>
      </w:pPr>
      <w:r w:rsidRPr="00E51638">
        <w:rPr>
          <w:color w:val="000000" w:themeColor="text1"/>
        </w:rPr>
        <w:t xml:space="preserve">En </w:t>
      </w:r>
      <w:r w:rsidR="00086B64" w:rsidRPr="00E51638">
        <w:rPr>
          <w:color w:val="000000" w:themeColor="text1"/>
        </w:rPr>
        <w:t>páginas anteriores</w:t>
      </w:r>
      <w:r w:rsidRPr="00E51638">
        <w:rPr>
          <w:color w:val="000000" w:themeColor="text1"/>
        </w:rPr>
        <w:t xml:space="preserve"> se concluyó que los derechos de participación política del artículo 35 constitucional garantizan el acceso en condiciones de igualdad a los cargos públicos y, además, que quienes hayan accedido a esos cargos se mantengan en ellos sin perturbaciones ilegítimas y puedan desempeñarlos de conformidad con las leyes correspondientes</w:t>
      </w:r>
      <w:r w:rsidR="00D17180" w:rsidRPr="00E51638">
        <w:rPr>
          <w:color w:val="000000" w:themeColor="text1"/>
        </w:rPr>
        <w:t xml:space="preserve">. </w:t>
      </w:r>
      <w:r w:rsidRPr="00E51638">
        <w:rPr>
          <w:color w:val="000000" w:themeColor="text1"/>
        </w:rPr>
        <w:t>Se trata pues, de un derecho fundamental de corte político-electoral que tiene unos alcances muy amplios.</w:t>
      </w:r>
    </w:p>
    <w:p w14:paraId="1123DB89" w14:textId="65CB93C7" w:rsidR="00A65B44" w:rsidRPr="00E51638" w:rsidRDefault="00A65B44" w:rsidP="00A65B44">
      <w:pPr>
        <w:pStyle w:val="Prrafo"/>
        <w:numPr>
          <w:ilvl w:val="0"/>
          <w:numId w:val="6"/>
        </w:numPr>
        <w:spacing w:after="0"/>
        <w:ind w:left="0" w:hanging="567"/>
        <w:rPr>
          <w:color w:val="000000" w:themeColor="text1"/>
        </w:rPr>
      </w:pPr>
      <w:r w:rsidRPr="00E51638">
        <w:rPr>
          <w:color w:val="000000" w:themeColor="text1"/>
        </w:rPr>
        <w:t xml:space="preserve">Ahora bien, las partes demandantes en esta acción de inconstitucionalidad preguntan a esta Suprema Corte de Justicia de la Nación si los medios de impugnación que son competencia del Tribunal Electoral del Poder Judicial de la Federación </w:t>
      </w:r>
      <w:r w:rsidR="004F4F55" w:rsidRPr="00E51638">
        <w:rPr>
          <w:color w:val="000000" w:themeColor="text1"/>
        </w:rPr>
        <w:t xml:space="preserve">son susceptibles de conocer y proteger el derecho de acceso </w:t>
      </w:r>
      <w:r w:rsidR="00137A2D" w:rsidRPr="00E51638">
        <w:rPr>
          <w:color w:val="000000" w:themeColor="text1"/>
        </w:rPr>
        <w:t>y</w:t>
      </w:r>
      <w:r w:rsidR="004F4F55" w:rsidRPr="00E51638">
        <w:rPr>
          <w:color w:val="000000" w:themeColor="text1"/>
        </w:rPr>
        <w:t xml:space="preserve"> desempeño de la función parlamentaria.</w:t>
      </w:r>
    </w:p>
    <w:p w14:paraId="704DC380" w14:textId="0F6B0B5D" w:rsidR="004F4F55" w:rsidRPr="00E51638" w:rsidRDefault="004F4F55" w:rsidP="00A65B44">
      <w:pPr>
        <w:pStyle w:val="Prrafo"/>
        <w:numPr>
          <w:ilvl w:val="0"/>
          <w:numId w:val="6"/>
        </w:numPr>
        <w:spacing w:after="0"/>
        <w:ind w:left="0" w:hanging="567"/>
        <w:rPr>
          <w:color w:val="000000" w:themeColor="text1"/>
        </w:rPr>
      </w:pPr>
      <w:r w:rsidRPr="00E51638">
        <w:rPr>
          <w:color w:val="000000" w:themeColor="text1"/>
        </w:rPr>
        <w:t xml:space="preserve">A este respecto, para dar una respuesta al planteamiento del partido político Movimiento Ciudadano y </w:t>
      </w:r>
      <w:r w:rsidR="003C2FA9" w:rsidRPr="00E51638">
        <w:rPr>
          <w:color w:val="000000" w:themeColor="text1"/>
        </w:rPr>
        <w:t>de</w:t>
      </w:r>
      <w:r w:rsidRPr="00E51638">
        <w:rPr>
          <w:color w:val="000000" w:themeColor="text1"/>
        </w:rPr>
        <w:t xml:space="preserve"> la minoría parlamentaria accionante, es necesario conocer la evolución que ha tenido la </w:t>
      </w:r>
      <w:r w:rsidR="00850A1B" w:rsidRPr="00E51638">
        <w:rPr>
          <w:color w:val="000000" w:themeColor="text1"/>
        </w:rPr>
        <w:t xml:space="preserve">jurisprudencia constitucional </w:t>
      </w:r>
      <w:r w:rsidRPr="00E51638">
        <w:rPr>
          <w:color w:val="000000" w:themeColor="text1"/>
        </w:rPr>
        <w:t>con relación al control judicial de los derechos político-electorales</w:t>
      </w:r>
      <w:r w:rsidR="008969A9" w:rsidRPr="00E51638">
        <w:rPr>
          <w:color w:val="000000" w:themeColor="text1"/>
        </w:rPr>
        <w:t>, pues desde sus inicios ha mantenido una deferencia a la actividad eminentemente política del Parlamento, pero permitiendo el control judicial de los actos del Poder Legislativo que inciden en el ejercicio de los derechos de participación y representación política.</w:t>
      </w:r>
    </w:p>
    <w:p w14:paraId="350A9E9C" w14:textId="296675D3" w:rsidR="00850A1B" w:rsidRPr="00E51638" w:rsidRDefault="00850A1B" w:rsidP="0025259E">
      <w:pPr>
        <w:pStyle w:val="Prrafo"/>
        <w:spacing w:after="0"/>
        <w:ind w:left="708"/>
        <w:outlineLvl w:val="5"/>
        <w:rPr>
          <w:b/>
          <w:bCs/>
          <w:color w:val="000000" w:themeColor="text1"/>
        </w:rPr>
      </w:pPr>
      <w:bookmarkStart w:id="78" w:name="_Toc108630507"/>
      <w:bookmarkStart w:id="79" w:name="_Toc108795872"/>
      <w:bookmarkStart w:id="80" w:name="_Toc109004126"/>
      <w:bookmarkStart w:id="81" w:name="_Toc113984444"/>
      <w:r w:rsidRPr="00E51638">
        <w:rPr>
          <w:b/>
          <w:bCs/>
          <w:color w:val="000000" w:themeColor="text1"/>
        </w:rPr>
        <w:t>C.1. Evolución de la doctrina constitucional comparada.</w:t>
      </w:r>
      <w:bookmarkEnd w:id="78"/>
      <w:bookmarkEnd w:id="79"/>
      <w:bookmarkEnd w:id="80"/>
      <w:bookmarkEnd w:id="81"/>
    </w:p>
    <w:p w14:paraId="3599C512" w14:textId="360CD64C" w:rsidR="008969A9" w:rsidRPr="00E51638" w:rsidRDefault="008969A9" w:rsidP="00141036">
      <w:pPr>
        <w:pStyle w:val="Prrafo"/>
        <w:numPr>
          <w:ilvl w:val="0"/>
          <w:numId w:val="6"/>
        </w:numPr>
        <w:spacing w:after="0"/>
        <w:ind w:left="0" w:hanging="567"/>
        <w:rPr>
          <w:color w:val="000000" w:themeColor="text1"/>
        </w:rPr>
      </w:pPr>
      <w:r w:rsidRPr="00E51638">
        <w:rPr>
          <w:color w:val="000000" w:themeColor="text1"/>
        </w:rPr>
        <w:lastRenderedPageBreak/>
        <w:t xml:space="preserve">Desde el plano </w:t>
      </w:r>
      <w:r w:rsidR="00CD4056" w:rsidRPr="00E51638">
        <w:rPr>
          <w:color w:val="000000" w:themeColor="text1"/>
        </w:rPr>
        <w:t>de la jurisprudencia comparada</w:t>
      </w:r>
      <w:r w:rsidRPr="00E51638">
        <w:rPr>
          <w:color w:val="000000" w:themeColor="text1"/>
        </w:rPr>
        <w:t xml:space="preserve">, </w:t>
      </w:r>
      <w:r w:rsidR="00CD4056" w:rsidRPr="00E51638">
        <w:rPr>
          <w:color w:val="000000" w:themeColor="text1"/>
        </w:rPr>
        <w:t xml:space="preserve">ha sido interesante la evolución que ha tenido la doctrina de la justiciabilidad de los actos parlamentarios que, en la mayoría de los casos </w:t>
      </w:r>
      <w:r w:rsidR="00645C22" w:rsidRPr="00E51638">
        <w:rPr>
          <w:color w:val="000000" w:themeColor="text1"/>
        </w:rPr>
        <w:t>comenzó</w:t>
      </w:r>
      <w:r w:rsidR="00CD4056" w:rsidRPr="00E51638">
        <w:rPr>
          <w:color w:val="000000" w:themeColor="text1"/>
        </w:rPr>
        <w:t xml:space="preserve"> con reservas pero con el transcurso del tiempo se ha venido consolidando en favor del acceso a la tutela judicial efectiva de los derechos de los parlamentarios o congresistas, sin poner en riesgo los principios de división de poderes ni de autonomía del Poder Legislativo</w:t>
      </w:r>
      <w:r w:rsidR="00F103D1" w:rsidRPr="00E51638">
        <w:rPr>
          <w:color w:val="000000" w:themeColor="text1"/>
        </w:rPr>
        <w:t xml:space="preserve"> —que es una de las principales objeciones que hacen valer las Cámaras del Congreso de la Unión en sus respectivos informes</w:t>
      </w:r>
      <w:r w:rsidR="00141036" w:rsidRPr="00E51638">
        <w:rPr>
          <w:color w:val="000000" w:themeColor="text1"/>
        </w:rPr>
        <w:t xml:space="preserve"> y, que ahora se expondrá únicamente con el afán de mostrar la tendencia global hacia la maximización de la tutela jurisdiccional de los actos parlamentarios—</w:t>
      </w:r>
      <w:r w:rsidR="00CD4056" w:rsidRPr="00E51638">
        <w:rPr>
          <w:color w:val="000000" w:themeColor="text1"/>
        </w:rPr>
        <w:t>.</w:t>
      </w:r>
    </w:p>
    <w:p w14:paraId="1B11D9F0" w14:textId="671B3EC8" w:rsidR="00CD4056" w:rsidRPr="00E51638" w:rsidRDefault="000123E2" w:rsidP="00A65B44">
      <w:pPr>
        <w:pStyle w:val="Prrafo"/>
        <w:numPr>
          <w:ilvl w:val="0"/>
          <w:numId w:val="6"/>
        </w:numPr>
        <w:spacing w:after="0"/>
        <w:ind w:left="0" w:hanging="567"/>
        <w:rPr>
          <w:color w:val="000000" w:themeColor="text1"/>
        </w:rPr>
      </w:pPr>
      <w:r w:rsidRPr="00E51638">
        <w:rPr>
          <w:color w:val="000000" w:themeColor="text1"/>
        </w:rPr>
        <w:t>Por ejemplo, en</w:t>
      </w:r>
      <w:r w:rsidR="008D1D3C" w:rsidRPr="00E51638">
        <w:rPr>
          <w:color w:val="000000" w:themeColor="text1"/>
        </w:rPr>
        <w:t xml:space="preserve"> los</w:t>
      </w:r>
      <w:r w:rsidRPr="00E51638">
        <w:rPr>
          <w:color w:val="000000" w:themeColor="text1"/>
        </w:rPr>
        <w:t xml:space="preserve"> Estados Unidos de América la doctrina de las “</w:t>
      </w:r>
      <w:r w:rsidRPr="00E51638">
        <w:rPr>
          <w:i/>
          <w:iCs/>
          <w:color w:val="000000" w:themeColor="text1"/>
        </w:rPr>
        <w:t xml:space="preserve">political questions” </w:t>
      </w:r>
      <w:r w:rsidR="00962114" w:rsidRPr="00E51638">
        <w:rPr>
          <w:color w:val="000000" w:themeColor="text1"/>
        </w:rPr>
        <w:t>constituyó</w:t>
      </w:r>
      <w:r w:rsidRPr="00E51638">
        <w:rPr>
          <w:color w:val="000000" w:themeColor="text1"/>
        </w:rPr>
        <w:t xml:space="preserve"> originalmente una barrera que imposibilitaba la impugnabilidad de los actos parlamentarios</w:t>
      </w:r>
      <w:r w:rsidR="00D17180" w:rsidRPr="00E51638">
        <w:rPr>
          <w:color w:val="000000" w:themeColor="text1"/>
        </w:rPr>
        <w:t xml:space="preserve">. </w:t>
      </w:r>
      <w:r w:rsidR="00962114" w:rsidRPr="00E51638">
        <w:rPr>
          <w:color w:val="000000" w:themeColor="text1"/>
        </w:rPr>
        <w:t xml:space="preserve">Incluso, desde la sentencia </w:t>
      </w:r>
      <w:r w:rsidR="00E6654D" w:rsidRPr="00E51638">
        <w:rPr>
          <w:color w:val="000000" w:themeColor="text1"/>
        </w:rPr>
        <w:t xml:space="preserve">del </w:t>
      </w:r>
      <w:r w:rsidR="00E6654D" w:rsidRPr="00E51638">
        <w:rPr>
          <w:i/>
          <w:iCs/>
          <w:color w:val="000000" w:themeColor="text1"/>
        </w:rPr>
        <w:t>Caso</w:t>
      </w:r>
      <w:r w:rsidR="00E6654D" w:rsidRPr="00E51638">
        <w:rPr>
          <w:color w:val="000000" w:themeColor="text1"/>
        </w:rPr>
        <w:t xml:space="preserve"> </w:t>
      </w:r>
      <w:r w:rsidR="00962114" w:rsidRPr="00E51638">
        <w:rPr>
          <w:i/>
          <w:iCs/>
          <w:color w:val="000000" w:themeColor="text1"/>
        </w:rPr>
        <w:t>Marbury v. Madison</w:t>
      </w:r>
      <w:r w:rsidR="00962114" w:rsidRPr="00E51638">
        <w:rPr>
          <w:rStyle w:val="Refdenotaalpie"/>
          <w:color w:val="000000" w:themeColor="text1"/>
        </w:rPr>
        <w:footnoteReference w:id="43"/>
      </w:r>
      <w:r w:rsidR="00962114" w:rsidRPr="00E51638">
        <w:rPr>
          <w:color w:val="000000" w:themeColor="text1"/>
        </w:rPr>
        <w:t xml:space="preserve">, el Tribunal Supremo de los Estados Unidos estableció la diferencia entre las cuestiones jurídicas y las cuestiones políticas, de manera que el Tribunal Supremo únicamente tendría competencias para conocer de las eminentemente jurídicas y se declararía incompetente para conocer de las </w:t>
      </w:r>
      <w:r w:rsidR="00962114" w:rsidRPr="00E51638">
        <w:rPr>
          <w:i/>
          <w:iCs/>
          <w:color w:val="000000" w:themeColor="text1"/>
        </w:rPr>
        <w:t>cuestiones políticas</w:t>
      </w:r>
      <w:r w:rsidR="00962114" w:rsidRPr="00E51638">
        <w:rPr>
          <w:color w:val="000000" w:themeColor="text1"/>
        </w:rPr>
        <w:t>.</w:t>
      </w:r>
    </w:p>
    <w:p w14:paraId="1BFF4ED8" w14:textId="2B329AC2" w:rsidR="00962114" w:rsidRPr="00E51638" w:rsidRDefault="00962114" w:rsidP="00A65B44">
      <w:pPr>
        <w:pStyle w:val="Prrafo"/>
        <w:numPr>
          <w:ilvl w:val="0"/>
          <w:numId w:val="6"/>
        </w:numPr>
        <w:spacing w:after="0"/>
        <w:ind w:left="0" w:hanging="567"/>
        <w:rPr>
          <w:color w:val="000000" w:themeColor="text1"/>
        </w:rPr>
      </w:pPr>
      <w:r w:rsidRPr="00E51638">
        <w:rPr>
          <w:color w:val="000000" w:themeColor="text1"/>
        </w:rPr>
        <w:t xml:space="preserve">De este modo, durante los años siguientes el Tribunal Supremo de los Estados Unidos consolidó su doctrina sobre las </w:t>
      </w:r>
      <w:r w:rsidRPr="00E51638">
        <w:rPr>
          <w:i/>
          <w:iCs/>
          <w:color w:val="000000" w:themeColor="text1"/>
        </w:rPr>
        <w:t>cuestiones políticas no judicializables</w:t>
      </w:r>
      <w:r w:rsidR="00E6654D" w:rsidRPr="00E51638">
        <w:rPr>
          <w:rStyle w:val="Refdenotaalpie"/>
          <w:rFonts w:eastAsia="Times New Roman"/>
          <w:color w:val="000000" w:themeColor="text1"/>
          <w:lang w:eastAsia="es-ES"/>
        </w:rPr>
        <w:footnoteReference w:id="44"/>
      </w:r>
      <w:r w:rsidRPr="00E51638">
        <w:rPr>
          <w:i/>
          <w:iCs/>
          <w:color w:val="000000" w:themeColor="text1"/>
        </w:rPr>
        <w:t xml:space="preserve">. </w:t>
      </w:r>
    </w:p>
    <w:p w14:paraId="512BE90E" w14:textId="1D041B13" w:rsidR="00D806C2" w:rsidRPr="00E51638" w:rsidRDefault="00E6654D" w:rsidP="00D806C2">
      <w:pPr>
        <w:pStyle w:val="Prrafo"/>
        <w:numPr>
          <w:ilvl w:val="0"/>
          <w:numId w:val="6"/>
        </w:numPr>
        <w:spacing w:after="0"/>
        <w:ind w:left="0" w:hanging="567"/>
        <w:rPr>
          <w:color w:val="000000" w:themeColor="text1"/>
        </w:rPr>
      </w:pPr>
      <w:r w:rsidRPr="00E51638">
        <w:rPr>
          <w:color w:val="000000" w:themeColor="text1"/>
        </w:rPr>
        <w:t xml:space="preserve">En el </w:t>
      </w:r>
      <w:r w:rsidRPr="00E51638">
        <w:rPr>
          <w:i/>
          <w:iCs/>
          <w:color w:val="000000" w:themeColor="text1"/>
        </w:rPr>
        <w:t xml:space="preserve">Caso </w:t>
      </w:r>
      <w:r w:rsidRPr="00E51638">
        <w:rPr>
          <w:rFonts w:eastAsia="Times New Roman"/>
          <w:i/>
          <w:color w:val="000000" w:themeColor="text1"/>
          <w:lang w:eastAsia="es-ES"/>
        </w:rPr>
        <w:t>Baker v. Carr</w:t>
      </w:r>
      <w:r w:rsidRPr="00E51638">
        <w:rPr>
          <w:rFonts w:eastAsia="Times New Roman"/>
          <w:color w:val="000000" w:themeColor="text1"/>
          <w:lang w:eastAsia="es-ES"/>
        </w:rPr>
        <w:t xml:space="preserve"> el Tribunal Supremo conoció de la demanda interpuesta por diversas personas que alegaron que la legislación del Estado de Tennessee era inconstitucional por permitir la sobrerrepresentación del voto en zonas rurales, en detrimento de la proporcionalidad del voto en zonas urbanas. De esta forma, para los recurrentes, la legislación electoral de Tennessee no había sido reformada para adaptarse al crecimiento demográfico en el estado, generando </w:t>
      </w:r>
      <w:r w:rsidRPr="00E51638">
        <w:rPr>
          <w:rFonts w:eastAsia="Times New Roman"/>
          <w:color w:val="000000" w:themeColor="text1"/>
          <w:lang w:eastAsia="es-ES"/>
        </w:rPr>
        <w:lastRenderedPageBreak/>
        <w:t>que el reparto de escaños parlamentarios se distribuyera en forma desproporcionada</w:t>
      </w:r>
      <w:r w:rsidRPr="00E51638">
        <w:rPr>
          <w:rStyle w:val="Refdenotaalpie"/>
          <w:rFonts w:eastAsia="Times New Roman"/>
          <w:color w:val="000000" w:themeColor="text1"/>
          <w:lang w:eastAsia="es-ES"/>
        </w:rPr>
        <w:footnoteReference w:id="45"/>
      </w:r>
      <w:r w:rsidR="00D806C2" w:rsidRPr="00E51638">
        <w:rPr>
          <w:rFonts w:eastAsia="Times New Roman"/>
          <w:color w:val="000000" w:themeColor="text1"/>
          <w:lang w:eastAsia="es-ES"/>
        </w:rPr>
        <w:t>.</w:t>
      </w:r>
      <w:r w:rsidRPr="00E51638">
        <w:rPr>
          <w:rFonts w:eastAsia="Times New Roman"/>
          <w:color w:val="000000" w:themeColor="text1"/>
          <w:lang w:eastAsia="es-ES"/>
        </w:rPr>
        <w:t xml:space="preserve"> </w:t>
      </w:r>
    </w:p>
    <w:p w14:paraId="0C04040D" w14:textId="77777777" w:rsidR="00D806C2" w:rsidRPr="00E51638" w:rsidRDefault="00E6654D" w:rsidP="00D806C2">
      <w:pPr>
        <w:pStyle w:val="Prrafo"/>
        <w:numPr>
          <w:ilvl w:val="0"/>
          <w:numId w:val="6"/>
        </w:numPr>
        <w:spacing w:after="0"/>
        <w:ind w:left="0" w:hanging="567"/>
        <w:rPr>
          <w:color w:val="000000" w:themeColor="text1"/>
        </w:rPr>
      </w:pPr>
      <w:r w:rsidRPr="00E51638">
        <w:rPr>
          <w:rFonts w:eastAsia="Times New Roman"/>
          <w:color w:val="000000" w:themeColor="text1"/>
          <w:lang w:eastAsia="es-ES"/>
        </w:rPr>
        <w:t xml:space="preserve">El Tribunal que </w:t>
      </w:r>
      <w:r w:rsidR="00D806C2" w:rsidRPr="00E51638">
        <w:rPr>
          <w:rFonts w:eastAsia="Times New Roman"/>
          <w:color w:val="000000" w:themeColor="text1"/>
          <w:lang w:eastAsia="es-ES"/>
        </w:rPr>
        <w:t>originalmente</w:t>
      </w:r>
      <w:r w:rsidRPr="00E51638">
        <w:rPr>
          <w:rFonts w:eastAsia="Times New Roman"/>
          <w:color w:val="000000" w:themeColor="text1"/>
          <w:lang w:eastAsia="es-ES"/>
        </w:rPr>
        <w:t xml:space="preserve"> conoció del caso desestimó la demanda, sosteniendo que era incompetente para resolver ese tipo de cuestiones. </w:t>
      </w:r>
      <w:r w:rsidR="00D806C2" w:rsidRPr="00E51638">
        <w:rPr>
          <w:rFonts w:eastAsia="Times New Roman"/>
          <w:color w:val="000000" w:themeColor="text1"/>
          <w:lang w:eastAsia="es-ES"/>
        </w:rPr>
        <w:t xml:space="preserve">No obstante, al resolver el recurso </w:t>
      </w:r>
      <w:r w:rsidRPr="00E51638">
        <w:rPr>
          <w:rFonts w:eastAsia="Times New Roman"/>
          <w:color w:val="000000" w:themeColor="text1"/>
          <w:lang w:eastAsia="es-ES"/>
        </w:rPr>
        <w:t>de apelación, el Tribunal Supremo resolvió que el mero hecho de que en la demanda se plantee la supuesta vulneración de un derecho político, no significa que se trate de cuestiones políticas no justiciables</w:t>
      </w:r>
      <w:r w:rsidRPr="00E51638">
        <w:rPr>
          <w:rStyle w:val="Refdenotaalpie"/>
          <w:rFonts w:eastAsia="Times New Roman"/>
          <w:color w:val="000000" w:themeColor="text1"/>
          <w:lang w:eastAsia="es-ES"/>
        </w:rPr>
        <w:footnoteReference w:id="46"/>
      </w:r>
      <w:r w:rsidR="00D806C2" w:rsidRPr="00E51638">
        <w:rPr>
          <w:rFonts w:eastAsia="Times New Roman"/>
          <w:color w:val="000000" w:themeColor="text1"/>
          <w:lang w:eastAsia="es-ES"/>
        </w:rPr>
        <w:t>.</w:t>
      </w:r>
    </w:p>
    <w:p w14:paraId="5B9C572F" w14:textId="6827FAFD" w:rsidR="00E6654D" w:rsidRPr="00E51638" w:rsidRDefault="00E6654D" w:rsidP="00D806C2">
      <w:pPr>
        <w:pStyle w:val="Prrafo"/>
        <w:numPr>
          <w:ilvl w:val="0"/>
          <w:numId w:val="6"/>
        </w:numPr>
        <w:spacing w:after="0"/>
        <w:ind w:left="0" w:hanging="567"/>
        <w:rPr>
          <w:color w:val="000000" w:themeColor="text1"/>
        </w:rPr>
      </w:pPr>
      <w:r w:rsidRPr="00E51638">
        <w:rPr>
          <w:rFonts w:eastAsia="Times New Roman"/>
          <w:color w:val="000000" w:themeColor="text1"/>
          <w:lang w:eastAsia="es-ES"/>
        </w:rPr>
        <w:t xml:space="preserve">En dicha resolución, el Tribunal Supremo hizo un recuento de su doctrina sobre la improcedencia de la tutela sobre </w:t>
      </w:r>
      <w:r w:rsidRPr="00E51638">
        <w:rPr>
          <w:rFonts w:eastAsia="Times New Roman"/>
          <w:i/>
          <w:iCs/>
          <w:color w:val="000000" w:themeColor="text1"/>
          <w:lang w:eastAsia="es-ES"/>
        </w:rPr>
        <w:t>cuestiones políticas</w:t>
      </w:r>
      <w:r w:rsidRPr="00E51638">
        <w:rPr>
          <w:rFonts w:eastAsia="Times New Roman"/>
          <w:color w:val="000000" w:themeColor="text1"/>
          <w:lang w:eastAsia="es-ES"/>
        </w:rPr>
        <w:t xml:space="preserve">. Para el Tribunal, son diversos los casos que pueden presentar una cuestión política no susceptible de ser tutelada en sede jurisdiccional, sin embargo, la clave para definirla radica en el principio de separación de poderes. En ese tenor, las cuestiones políticas no justiciables son únicamente aquellas que vulneran la autonomía del </w:t>
      </w:r>
      <w:r w:rsidR="008F165A" w:rsidRPr="00E51638">
        <w:rPr>
          <w:rFonts w:eastAsia="Times New Roman"/>
          <w:color w:val="000000" w:themeColor="text1"/>
          <w:lang w:eastAsia="es-ES"/>
        </w:rPr>
        <w:t>L</w:t>
      </w:r>
      <w:r w:rsidRPr="00E51638">
        <w:rPr>
          <w:rFonts w:eastAsia="Times New Roman"/>
          <w:color w:val="000000" w:themeColor="text1"/>
          <w:lang w:eastAsia="es-ES"/>
        </w:rPr>
        <w:t xml:space="preserve">egislador o del Gobierno, lo cual no ocurría en el caso, pues las alegaciones denunciadas se traducían en la vulneración del derecho de igualdad, </w:t>
      </w:r>
      <w:r w:rsidR="00C3126D" w:rsidRPr="00E51638">
        <w:rPr>
          <w:rFonts w:eastAsia="Times New Roman"/>
          <w:color w:val="000000" w:themeColor="text1"/>
          <w:lang w:eastAsia="es-ES"/>
        </w:rPr>
        <w:t xml:space="preserve">que </w:t>
      </w:r>
      <w:r w:rsidRPr="00E51638">
        <w:rPr>
          <w:rFonts w:eastAsia="Times New Roman"/>
          <w:color w:val="000000" w:themeColor="text1"/>
          <w:lang w:eastAsia="es-ES"/>
        </w:rPr>
        <w:t>puede ser garantizado en sede judicial</w:t>
      </w:r>
      <w:r w:rsidRPr="00E51638">
        <w:rPr>
          <w:rStyle w:val="Refdenotaalpie"/>
          <w:rFonts w:eastAsia="Times New Roman"/>
          <w:color w:val="000000" w:themeColor="text1"/>
          <w:lang w:eastAsia="es-ES"/>
        </w:rPr>
        <w:footnoteReference w:id="47"/>
      </w:r>
      <w:r w:rsidR="008F165A" w:rsidRPr="00E51638">
        <w:rPr>
          <w:rFonts w:eastAsia="Times New Roman"/>
          <w:color w:val="000000" w:themeColor="text1"/>
          <w:lang w:eastAsia="es-ES"/>
        </w:rPr>
        <w:t>.</w:t>
      </w:r>
    </w:p>
    <w:p w14:paraId="071993E5" w14:textId="1B9AE53C" w:rsidR="008F165A" w:rsidRPr="00E51638" w:rsidRDefault="008F165A" w:rsidP="00D806C2">
      <w:pPr>
        <w:pStyle w:val="Prrafo"/>
        <w:numPr>
          <w:ilvl w:val="0"/>
          <w:numId w:val="6"/>
        </w:numPr>
        <w:spacing w:after="0"/>
        <w:ind w:left="0" w:hanging="567"/>
        <w:rPr>
          <w:color w:val="000000" w:themeColor="text1"/>
        </w:rPr>
      </w:pPr>
      <w:r w:rsidRPr="00E51638">
        <w:rPr>
          <w:rFonts w:eastAsia="Times New Roman"/>
          <w:color w:val="000000" w:themeColor="text1"/>
          <w:lang w:eastAsia="es-ES"/>
        </w:rPr>
        <w:t xml:space="preserve">Con esta sentencia, el Tribunal Supremo de los Estados Unidos definió que la facultad de las legislaturas estatales para establecer </w:t>
      </w:r>
      <w:r w:rsidR="00C3126D" w:rsidRPr="00E51638">
        <w:rPr>
          <w:rFonts w:eastAsia="Times New Roman"/>
          <w:color w:val="000000" w:themeColor="text1"/>
          <w:lang w:eastAsia="es-ES"/>
        </w:rPr>
        <w:t>o</w:t>
      </w:r>
      <w:r w:rsidRPr="00E51638">
        <w:rPr>
          <w:rFonts w:eastAsia="Times New Roman"/>
          <w:color w:val="000000" w:themeColor="text1"/>
          <w:lang w:eastAsia="es-ES"/>
        </w:rPr>
        <w:t xml:space="preserve"> modificar los distritos electorales podía ser cuestionada ante los tribunales, por no ser una </w:t>
      </w:r>
      <w:r w:rsidRPr="00E51638">
        <w:rPr>
          <w:rFonts w:eastAsia="Times New Roman"/>
          <w:i/>
          <w:iCs/>
          <w:color w:val="000000" w:themeColor="text1"/>
          <w:lang w:eastAsia="es-ES"/>
        </w:rPr>
        <w:t>cuestión política</w:t>
      </w:r>
      <w:r w:rsidRPr="00E51638">
        <w:rPr>
          <w:rFonts w:eastAsia="Times New Roman"/>
          <w:color w:val="000000" w:themeColor="text1"/>
          <w:lang w:eastAsia="es-ES"/>
        </w:rPr>
        <w:t>.</w:t>
      </w:r>
    </w:p>
    <w:p w14:paraId="6BC2B0AF" w14:textId="4A62236C" w:rsidR="000207C1" w:rsidRPr="00E51638" w:rsidRDefault="000207C1" w:rsidP="00D806C2">
      <w:pPr>
        <w:pStyle w:val="Prrafo"/>
        <w:numPr>
          <w:ilvl w:val="0"/>
          <w:numId w:val="6"/>
        </w:numPr>
        <w:spacing w:after="0"/>
        <w:ind w:left="0" w:hanging="567"/>
        <w:rPr>
          <w:color w:val="000000" w:themeColor="text1"/>
        </w:rPr>
      </w:pPr>
      <w:r w:rsidRPr="00E51638">
        <w:rPr>
          <w:rFonts w:eastAsia="Times New Roman"/>
          <w:color w:val="000000" w:themeColor="text1"/>
          <w:lang w:eastAsia="es-ES"/>
        </w:rPr>
        <w:t xml:space="preserve">Más adelante, al resolver el </w:t>
      </w:r>
      <w:r w:rsidRPr="00E51638">
        <w:rPr>
          <w:rFonts w:eastAsia="Times New Roman"/>
          <w:i/>
          <w:iCs/>
          <w:color w:val="000000" w:themeColor="text1"/>
          <w:lang w:eastAsia="es-ES"/>
        </w:rPr>
        <w:t>Caso Powell v. McCormack</w:t>
      </w:r>
      <w:r w:rsidRPr="00E51638">
        <w:rPr>
          <w:rStyle w:val="Refdenotaalpie"/>
          <w:rFonts w:eastAsia="Times New Roman"/>
          <w:i/>
          <w:iCs/>
          <w:color w:val="000000" w:themeColor="text1"/>
          <w:lang w:eastAsia="es-ES"/>
        </w:rPr>
        <w:footnoteReference w:id="48"/>
      </w:r>
      <w:r w:rsidRPr="00E51638">
        <w:rPr>
          <w:rFonts w:eastAsia="Times New Roman"/>
          <w:color w:val="000000" w:themeColor="text1"/>
          <w:lang w:eastAsia="es-ES"/>
        </w:rPr>
        <w:t xml:space="preserve">, el Tribunal Supremo afianzó su doctrina jurisdiccional y conoció de la demanda promovida por Adam C. Powell, un congresista que fue reelecto </w:t>
      </w:r>
      <w:r w:rsidR="002F2A3E" w:rsidRPr="00E51638">
        <w:rPr>
          <w:rFonts w:eastAsia="Times New Roman"/>
          <w:color w:val="000000" w:themeColor="text1"/>
          <w:lang w:eastAsia="es-ES"/>
        </w:rPr>
        <w:t>en la Cámara de Representantes de los Estados Unidos pero, por motivo de un procedimiento instaurado en su contra por el Congreso, fue sancionado y se le impidió tomar posesión de su escaño parlamentario.</w:t>
      </w:r>
    </w:p>
    <w:p w14:paraId="422DD6D9" w14:textId="61E74592" w:rsidR="002F2A3E" w:rsidRPr="00E51638" w:rsidRDefault="002F2A3E" w:rsidP="00D806C2">
      <w:pPr>
        <w:pStyle w:val="Prrafo"/>
        <w:numPr>
          <w:ilvl w:val="0"/>
          <w:numId w:val="6"/>
        </w:numPr>
        <w:spacing w:after="0"/>
        <w:ind w:left="0" w:hanging="567"/>
        <w:rPr>
          <w:color w:val="000000" w:themeColor="text1"/>
        </w:rPr>
      </w:pPr>
      <w:r w:rsidRPr="00E51638">
        <w:rPr>
          <w:rFonts w:eastAsia="Times New Roman"/>
          <w:color w:val="000000" w:themeColor="text1"/>
          <w:lang w:eastAsia="es-ES"/>
        </w:rPr>
        <w:lastRenderedPageBreak/>
        <w:t xml:space="preserve">En la </w:t>
      </w:r>
      <w:r w:rsidR="00251440" w:rsidRPr="00E51638">
        <w:rPr>
          <w:rFonts w:eastAsia="Times New Roman"/>
          <w:color w:val="000000" w:themeColor="text1"/>
          <w:lang w:eastAsia="es-ES"/>
        </w:rPr>
        <w:t>decisión</w:t>
      </w:r>
      <w:r w:rsidRPr="00E51638">
        <w:rPr>
          <w:rFonts w:eastAsia="Times New Roman"/>
          <w:color w:val="000000" w:themeColor="text1"/>
          <w:lang w:eastAsia="es-ES"/>
        </w:rPr>
        <w:t>, el Tribunal Supremo analizó si la facultad de la Cámara de Representantes de excluir a Adam Powell del ejercicio de su cargo era una cuestión política no judicializable o, si era posible conocer del caso</w:t>
      </w:r>
      <w:r w:rsidRPr="00E51638">
        <w:rPr>
          <w:rStyle w:val="Refdenotaalpie"/>
          <w:rFonts w:eastAsia="Times New Roman"/>
          <w:color w:val="000000" w:themeColor="text1"/>
          <w:lang w:eastAsia="es-ES"/>
        </w:rPr>
        <w:footnoteReference w:id="49"/>
      </w:r>
      <w:r w:rsidRPr="00E51638">
        <w:rPr>
          <w:rFonts w:eastAsia="Times New Roman"/>
          <w:color w:val="000000" w:themeColor="text1"/>
          <w:lang w:eastAsia="es-ES"/>
        </w:rPr>
        <w:t xml:space="preserve">. </w:t>
      </w:r>
      <w:r w:rsidR="0005087E" w:rsidRPr="00E51638">
        <w:rPr>
          <w:rFonts w:eastAsia="Times New Roman"/>
          <w:color w:val="000000" w:themeColor="text1"/>
          <w:lang w:eastAsia="es-ES"/>
        </w:rPr>
        <w:t xml:space="preserve">El Tribunal Supremo decidió, finalmente, que el asunto no podía ser considerado una </w:t>
      </w:r>
      <w:r w:rsidR="0005087E" w:rsidRPr="00E51638">
        <w:rPr>
          <w:rFonts w:eastAsia="Times New Roman"/>
          <w:i/>
          <w:iCs/>
          <w:color w:val="000000" w:themeColor="text1"/>
          <w:lang w:eastAsia="es-ES"/>
        </w:rPr>
        <w:t>cuestión política</w:t>
      </w:r>
      <w:r w:rsidR="0005087E" w:rsidRPr="00E51638">
        <w:rPr>
          <w:rFonts w:eastAsia="Times New Roman"/>
          <w:color w:val="000000" w:themeColor="text1"/>
          <w:lang w:eastAsia="es-ES"/>
        </w:rPr>
        <w:t>, dado que Powell había sido electo de acuerdo con los requisitos exigidos en la Constitución, de manera que la Cámara de representantes no tenía poder para excluirle del ejercicio del cargo representativo.</w:t>
      </w:r>
    </w:p>
    <w:p w14:paraId="5E5DC855" w14:textId="283E05AC" w:rsidR="00952178" w:rsidRPr="00E51638" w:rsidRDefault="001831BA" w:rsidP="00D806C2">
      <w:pPr>
        <w:pStyle w:val="Prrafo"/>
        <w:numPr>
          <w:ilvl w:val="0"/>
          <w:numId w:val="6"/>
        </w:numPr>
        <w:spacing w:after="0"/>
        <w:ind w:left="0" w:hanging="567"/>
        <w:rPr>
          <w:color w:val="000000" w:themeColor="text1"/>
        </w:rPr>
      </w:pPr>
      <w:r w:rsidRPr="00E51638">
        <w:rPr>
          <w:rFonts w:eastAsia="Times New Roman"/>
          <w:color w:val="000000" w:themeColor="text1"/>
          <w:lang w:eastAsia="es-ES"/>
        </w:rPr>
        <w:t xml:space="preserve">Más tarde, en el </w:t>
      </w:r>
      <w:r w:rsidRPr="00E51638">
        <w:rPr>
          <w:rFonts w:eastAsia="Times New Roman"/>
          <w:i/>
          <w:iCs/>
          <w:color w:val="000000" w:themeColor="text1"/>
          <w:lang w:eastAsia="es-ES"/>
        </w:rPr>
        <w:t>Caso Nixon v. United States</w:t>
      </w:r>
      <w:r w:rsidRPr="00E51638">
        <w:rPr>
          <w:rStyle w:val="Refdenotaalpie"/>
          <w:rFonts w:eastAsia="Times New Roman"/>
          <w:i/>
          <w:iCs/>
          <w:color w:val="000000" w:themeColor="text1"/>
          <w:lang w:eastAsia="es-ES"/>
        </w:rPr>
        <w:footnoteReference w:id="50"/>
      </w:r>
      <w:r w:rsidRPr="00E51638">
        <w:rPr>
          <w:rFonts w:eastAsia="Times New Roman"/>
          <w:i/>
          <w:iCs/>
          <w:color w:val="000000" w:themeColor="text1"/>
          <w:lang w:eastAsia="es-ES"/>
        </w:rPr>
        <w:t xml:space="preserve"> </w:t>
      </w:r>
      <w:r w:rsidRPr="00E51638">
        <w:rPr>
          <w:rFonts w:eastAsia="Times New Roman"/>
          <w:color w:val="000000" w:themeColor="text1"/>
          <w:lang w:eastAsia="es-ES"/>
        </w:rPr>
        <w:t>el Tribunal Supremo de los Estados Unidos declaró que el procedimiento de juicio político (</w:t>
      </w:r>
      <w:r w:rsidRPr="00E51638">
        <w:rPr>
          <w:rFonts w:eastAsia="Times New Roman"/>
          <w:i/>
          <w:iCs/>
          <w:color w:val="000000" w:themeColor="text1"/>
          <w:lang w:eastAsia="es-ES"/>
        </w:rPr>
        <w:t xml:space="preserve">impeachment) </w:t>
      </w:r>
      <w:r w:rsidRPr="00E51638">
        <w:rPr>
          <w:rFonts w:eastAsia="Times New Roman"/>
          <w:color w:val="000000" w:themeColor="text1"/>
          <w:lang w:eastAsia="es-ES"/>
        </w:rPr>
        <w:t>es una cuestión política que no puede ser revisada por juez alguno, pues la Constitución reservaba esa función al Senado.</w:t>
      </w:r>
    </w:p>
    <w:p w14:paraId="18F7B4DC" w14:textId="68A6BA02" w:rsidR="0070348F" w:rsidRPr="00E51638" w:rsidRDefault="0005087E" w:rsidP="00FF2EA9">
      <w:pPr>
        <w:pStyle w:val="Prrafo"/>
        <w:numPr>
          <w:ilvl w:val="0"/>
          <w:numId w:val="6"/>
        </w:numPr>
        <w:spacing w:after="0"/>
        <w:ind w:left="0" w:hanging="567"/>
        <w:rPr>
          <w:color w:val="000000" w:themeColor="text1"/>
        </w:rPr>
      </w:pPr>
      <w:r w:rsidRPr="00E51638">
        <w:rPr>
          <w:rFonts w:eastAsia="Times New Roman"/>
          <w:color w:val="000000" w:themeColor="text1"/>
          <w:lang w:eastAsia="es-ES"/>
        </w:rPr>
        <w:t xml:space="preserve">En síntesis, el Tribunal Supremo delineó </w:t>
      </w:r>
      <w:r w:rsidR="006226F6" w:rsidRPr="00E51638">
        <w:rPr>
          <w:rFonts w:eastAsia="Times New Roman"/>
          <w:color w:val="000000" w:themeColor="text1"/>
          <w:lang w:eastAsia="es-ES"/>
        </w:rPr>
        <w:t xml:space="preserve">desde </w:t>
      </w:r>
      <w:r w:rsidRPr="00E51638">
        <w:rPr>
          <w:rFonts w:eastAsia="Times New Roman"/>
          <w:color w:val="000000" w:themeColor="text1"/>
          <w:lang w:eastAsia="es-ES"/>
        </w:rPr>
        <w:t>el</w:t>
      </w:r>
      <w:r w:rsidRPr="00E51638">
        <w:rPr>
          <w:rFonts w:eastAsia="Times New Roman"/>
          <w:i/>
          <w:iCs/>
          <w:color w:val="000000" w:themeColor="text1"/>
          <w:lang w:eastAsia="es-ES"/>
        </w:rPr>
        <w:t xml:space="preserve"> Caso Marbury v. Madison</w:t>
      </w:r>
      <w:r w:rsidRPr="00E51638">
        <w:rPr>
          <w:rStyle w:val="Refdenotaalpie"/>
          <w:rFonts w:eastAsia="Times New Roman"/>
          <w:i/>
          <w:iCs/>
          <w:color w:val="000000" w:themeColor="text1"/>
          <w:lang w:eastAsia="es-ES"/>
        </w:rPr>
        <w:footnoteReference w:id="51"/>
      </w:r>
      <w:r w:rsidRPr="00E51638">
        <w:rPr>
          <w:rFonts w:eastAsia="Times New Roman"/>
          <w:i/>
          <w:iCs/>
          <w:color w:val="000000" w:themeColor="text1"/>
          <w:lang w:eastAsia="es-ES"/>
        </w:rPr>
        <w:t xml:space="preserve"> </w:t>
      </w:r>
      <w:r w:rsidRPr="00E51638">
        <w:rPr>
          <w:rFonts w:eastAsia="Times New Roman"/>
          <w:color w:val="000000" w:themeColor="text1"/>
          <w:lang w:eastAsia="es-ES"/>
        </w:rPr>
        <w:t>un estándar para discernir cuándo se está ante una cuestión política y cuándo frente a una cuestión jurídica judicializable</w:t>
      </w:r>
      <w:r w:rsidR="00D4331E" w:rsidRPr="00E51638">
        <w:rPr>
          <w:rFonts w:eastAsia="Times New Roman"/>
          <w:color w:val="000000" w:themeColor="text1"/>
          <w:lang w:eastAsia="es-ES"/>
        </w:rPr>
        <w:t xml:space="preserve">: será una </w:t>
      </w:r>
      <w:r w:rsidR="00D4331E" w:rsidRPr="00E51638">
        <w:rPr>
          <w:rFonts w:eastAsia="Times New Roman"/>
          <w:i/>
          <w:iCs/>
          <w:color w:val="000000" w:themeColor="text1"/>
          <w:lang w:eastAsia="es-ES"/>
        </w:rPr>
        <w:t xml:space="preserve">cuestión política </w:t>
      </w:r>
      <w:r w:rsidR="00D4331E" w:rsidRPr="00E51638">
        <w:rPr>
          <w:rFonts w:eastAsia="Times New Roman"/>
          <w:color w:val="000000" w:themeColor="text1"/>
          <w:lang w:eastAsia="es-ES"/>
        </w:rPr>
        <w:t>si se ejerce una facultad orgánica discrecional y la autoridad puede hacer uso de ella sin responsabilidad jurídica; y en casos opuestos, cuando se trata de una atribución constitucional podrá ser enjuiciable frente a los tribunales</w:t>
      </w:r>
      <w:r w:rsidR="00D4331E" w:rsidRPr="00E51638">
        <w:rPr>
          <w:rStyle w:val="Refdenotaalpie"/>
          <w:rFonts w:eastAsia="Times New Roman"/>
          <w:color w:val="000000" w:themeColor="text1"/>
          <w:lang w:eastAsia="es-ES"/>
        </w:rPr>
        <w:footnoteReference w:id="52"/>
      </w:r>
      <w:r w:rsidR="00952178" w:rsidRPr="00E51638">
        <w:rPr>
          <w:rFonts w:eastAsia="Times New Roman"/>
          <w:color w:val="000000" w:themeColor="text1"/>
          <w:lang w:eastAsia="es-ES"/>
        </w:rPr>
        <w:t>.</w:t>
      </w:r>
    </w:p>
    <w:p w14:paraId="495E263D" w14:textId="098FB3C9" w:rsidR="0005087E" w:rsidRPr="00E51638" w:rsidRDefault="006226F6" w:rsidP="00FF2EA9">
      <w:pPr>
        <w:pStyle w:val="Prrafo"/>
        <w:numPr>
          <w:ilvl w:val="0"/>
          <w:numId w:val="6"/>
        </w:numPr>
        <w:spacing w:after="0"/>
        <w:ind w:left="0" w:hanging="567"/>
        <w:rPr>
          <w:color w:val="000000" w:themeColor="text1"/>
        </w:rPr>
      </w:pPr>
      <w:r w:rsidRPr="00E51638">
        <w:rPr>
          <w:color w:val="000000" w:themeColor="text1"/>
        </w:rPr>
        <w:t>Como se puede advertir, la línea jurisprudencial del Tribunal Supremo de los Estados Unidos fue evolucionando hasta el grado de permitir la tutela jurisdiccional de determinados actos del parlamento que impactaron e</w:t>
      </w:r>
      <w:r w:rsidR="00251440" w:rsidRPr="00E51638">
        <w:rPr>
          <w:color w:val="000000" w:themeColor="text1"/>
        </w:rPr>
        <w:t>n</w:t>
      </w:r>
      <w:r w:rsidRPr="00E51638">
        <w:rPr>
          <w:color w:val="000000" w:themeColor="text1"/>
        </w:rPr>
        <w:t xml:space="preserve"> el acceso y desempeño de la función representativa</w:t>
      </w:r>
      <w:r w:rsidR="005326DD" w:rsidRPr="00E51638">
        <w:rPr>
          <w:color w:val="000000" w:themeColor="text1"/>
        </w:rPr>
        <w:t xml:space="preserve"> y que pusieron en riesgo a la democracia misma</w:t>
      </w:r>
      <w:r w:rsidRPr="00E51638">
        <w:rPr>
          <w:color w:val="000000" w:themeColor="text1"/>
        </w:rPr>
        <w:t>, inadmitiendo todos aquellos que implicaban un estudio político —en lugar de jurídico— y que tenían fundamento en facultades constitucionalmente discrecionales.</w:t>
      </w:r>
    </w:p>
    <w:p w14:paraId="26A72674" w14:textId="64A391CF" w:rsidR="006226F6" w:rsidRPr="00E51638" w:rsidRDefault="006226F6" w:rsidP="00FF2EA9">
      <w:pPr>
        <w:pStyle w:val="Prrafo"/>
        <w:numPr>
          <w:ilvl w:val="0"/>
          <w:numId w:val="6"/>
        </w:numPr>
        <w:spacing w:after="0"/>
        <w:ind w:left="0" w:hanging="567"/>
        <w:rPr>
          <w:color w:val="000000" w:themeColor="text1"/>
        </w:rPr>
      </w:pPr>
      <w:r w:rsidRPr="00E51638">
        <w:rPr>
          <w:color w:val="000000" w:themeColor="text1"/>
        </w:rPr>
        <w:t>En el caso español ha su</w:t>
      </w:r>
      <w:r w:rsidR="005326DD" w:rsidRPr="00E51638">
        <w:rPr>
          <w:color w:val="000000" w:themeColor="text1"/>
        </w:rPr>
        <w:t xml:space="preserve">cedido algo similar, pues en los albores de </w:t>
      </w:r>
      <w:r w:rsidR="00C6230A" w:rsidRPr="00E51638">
        <w:rPr>
          <w:color w:val="000000" w:themeColor="text1"/>
        </w:rPr>
        <w:t>su democracia</w:t>
      </w:r>
      <w:r w:rsidR="005326DD" w:rsidRPr="00E51638">
        <w:rPr>
          <w:color w:val="000000" w:themeColor="text1"/>
        </w:rPr>
        <w:t xml:space="preserve">, el Tribunal Constitucional importó del Derecho italiano la fórmula </w:t>
      </w:r>
      <w:r w:rsidR="005326DD" w:rsidRPr="00E51638">
        <w:rPr>
          <w:color w:val="000000" w:themeColor="text1"/>
        </w:rPr>
        <w:lastRenderedPageBreak/>
        <w:t>“</w:t>
      </w:r>
      <w:r w:rsidR="005326DD" w:rsidRPr="00E51638">
        <w:rPr>
          <w:i/>
          <w:iCs/>
          <w:color w:val="000000" w:themeColor="text1"/>
        </w:rPr>
        <w:t>interna corporis</w:t>
      </w:r>
      <w:r w:rsidR="00B62F4F" w:rsidRPr="00E51638">
        <w:rPr>
          <w:i/>
          <w:iCs/>
          <w:color w:val="000000" w:themeColor="text1"/>
        </w:rPr>
        <w:t xml:space="preserve"> acta</w:t>
      </w:r>
      <w:r w:rsidR="005326DD" w:rsidRPr="00E51638">
        <w:rPr>
          <w:i/>
          <w:iCs/>
          <w:color w:val="000000" w:themeColor="text1"/>
        </w:rPr>
        <w:t xml:space="preserve">” </w:t>
      </w:r>
      <w:r w:rsidR="005326DD" w:rsidRPr="00E51638">
        <w:rPr>
          <w:color w:val="000000" w:themeColor="text1"/>
        </w:rPr>
        <w:t>p</w:t>
      </w:r>
      <w:r w:rsidR="00C6230A" w:rsidRPr="00E51638">
        <w:rPr>
          <w:color w:val="000000" w:themeColor="text1"/>
        </w:rPr>
        <w:t xml:space="preserve">or la que se sostiene </w:t>
      </w:r>
      <w:r w:rsidR="003F3853" w:rsidRPr="00E51638">
        <w:rPr>
          <w:color w:val="000000" w:themeColor="text1"/>
        </w:rPr>
        <w:t>la imposibilidad de controlar los actos internos de las Cámaras del Parlamento</w:t>
      </w:r>
      <w:r w:rsidR="00744280" w:rsidRPr="00E51638">
        <w:rPr>
          <w:color w:val="000000" w:themeColor="text1"/>
        </w:rPr>
        <w:t xml:space="preserve">, bajo el argumento de que tratándose de la vida interna de un órgano constitucional, el Tribunal Constitucional —en sus primeras sentencias, que luego abandonó— </w:t>
      </w:r>
      <w:r w:rsidR="004D733F" w:rsidRPr="00E51638">
        <w:rPr>
          <w:color w:val="000000" w:themeColor="text1"/>
        </w:rPr>
        <w:t>no puede intervenir</w:t>
      </w:r>
      <w:r w:rsidR="00744280" w:rsidRPr="00E51638">
        <w:rPr>
          <w:color w:val="000000" w:themeColor="text1"/>
        </w:rPr>
        <w:t>, pues esa carga política podía incidir en la independencia de los tribunales</w:t>
      </w:r>
      <w:r w:rsidR="00744280" w:rsidRPr="00E51638">
        <w:rPr>
          <w:rStyle w:val="Refdenotaalpie"/>
          <w:color w:val="000000" w:themeColor="text1"/>
        </w:rPr>
        <w:footnoteReference w:id="53"/>
      </w:r>
      <w:r w:rsidR="00744280" w:rsidRPr="00E51638">
        <w:rPr>
          <w:color w:val="000000" w:themeColor="text1"/>
        </w:rPr>
        <w:t>.</w:t>
      </w:r>
    </w:p>
    <w:p w14:paraId="7A71F154" w14:textId="3683D32F" w:rsidR="00744280" w:rsidRPr="00E51638" w:rsidRDefault="00BC6741" w:rsidP="00FF2EA9">
      <w:pPr>
        <w:pStyle w:val="Prrafo"/>
        <w:numPr>
          <w:ilvl w:val="0"/>
          <w:numId w:val="6"/>
        </w:numPr>
        <w:spacing w:after="0"/>
        <w:ind w:left="0" w:hanging="567"/>
        <w:rPr>
          <w:color w:val="000000" w:themeColor="text1"/>
        </w:rPr>
      </w:pPr>
      <w:r w:rsidRPr="00E51638">
        <w:rPr>
          <w:color w:val="000000" w:themeColor="text1"/>
        </w:rPr>
        <w:t>Con esta doctrina, inicialmente sustentada en el Auto 183/1984</w:t>
      </w:r>
      <w:r w:rsidR="00915B24" w:rsidRPr="00E51638">
        <w:rPr>
          <w:rStyle w:val="Refdenotaalpie"/>
          <w:color w:val="000000" w:themeColor="text1"/>
        </w:rPr>
        <w:footnoteReference w:id="54"/>
      </w:r>
      <w:r w:rsidRPr="00E51638">
        <w:rPr>
          <w:color w:val="000000" w:themeColor="text1"/>
        </w:rPr>
        <w:t>, el Tribunal Constitucional de España decidió inadmitir los recursos de amparo interpuestos en contra de los actos de las Cámaras</w:t>
      </w:r>
      <w:r w:rsidR="004D733F" w:rsidRPr="00E51638">
        <w:rPr>
          <w:color w:val="000000" w:themeColor="text1"/>
        </w:rPr>
        <w:t>, ya que el necesario respeto de la independencia del Parlamento le impide a la jurisdicción conocer del fondo del asunto</w:t>
      </w:r>
      <w:r w:rsidR="00D17180" w:rsidRPr="00E51638">
        <w:rPr>
          <w:color w:val="000000" w:themeColor="text1"/>
        </w:rPr>
        <w:t xml:space="preserve">. </w:t>
      </w:r>
      <w:r w:rsidR="004D733F" w:rsidRPr="00E51638">
        <w:rPr>
          <w:color w:val="000000" w:themeColor="text1"/>
        </w:rPr>
        <w:t>Entonces, el Tribunal consideró exentos de su control los actos internos de las Cámaras</w:t>
      </w:r>
      <w:r w:rsidR="00D17180" w:rsidRPr="00E51638">
        <w:rPr>
          <w:color w:val="000000" w:themeColor="text1"/>
        </w:rPr>
        <w:t xml:space="preserve">. </w:t>
      </w:r>
      <w:r w:rsidR="00C12BC3" w:rsidRPr="00E51638">
        <w:rPr>
          <w:color w:val="000000" w:themeColor="text1"/>
        </w:rPr>
        <w:t>Más tarde, el Tribunal matizó su doctrina y en el Auto 12/1986</w:t>
      </w:r>
      <w:r w:rsidR="00C12BC3" w:rsidRPr="00E51638">
        <w:rPr>
          <w:rStyle w:val="Refdenotaalpie"/>
          <w:color w:val="000000" w:themeColor="text1"/>
        </w:rPr>
        <w:footnoteReference w:id="55"/>
      </w:r>
      <w:r w:rsidR="00C12BC3" w:rsidRPr="00E51638">
        <w:rPr>
          <w:color w:val="000000" w:themeColor="text1"/>
        </w:rPr>
        <w:t xml:space="preserve"> manifestó que la facultad de organización de los debates y el procedimiento parlamentario son cuestiones que se desprenden de la autonomía parlamentaria, por lo que la “</w:t>
      </w:r>
      <w:r w:rsidR="00C12BC3" w:rsidRPr="00E51638">
        <w:rPr>
          <w:i/>
          <w:iCs/>
          <w:color w:val="000000" w:themeColor="text1"/>
        </w:rPr>
        <w:t>infracción pura y simple</w:t>
      </w:r>
      <w:r w:rsidR="00C12BC3" w:rsidRPr="00E51638">
        <w:rPr>
          <w:color w:val="000000" w:themeColor="text1"/>
        </w:rPr>
        <w:t>” de una norma reglamentaria de la Cámara no era recurrible en amparo, pero sí podría ser impugnable si se afectara algún derecho fundamental con esa infracción</w:t>
      </w:r>
      <w:r w:rsidR="00B9614B" w:rsidRPr="00E51638">
        <w:rPr>
          <w:color w:val="000000" w:themeColor="text1"/>
        </w:rPr>
        <w:t xml:space="preserve"> (lo cual no sucedió en ese caso)</w:t>
      </w:r>
      <w:r w:rsidR="00C12BC3" w:rsidRPr="00E51638">
        <w:rPr>
          <w:color w:val="000000" w:themeColor="text1"/>
        </w:rPr>
        <w:t>.</w:t>
      </w:r>
    </w:p>
    <w:p w14:paraId="69E1CE70" w14:textId="5B1C5BD2" w:rsidR="00915B24" w:rsidRPr="00E51638" w:rsidRDefault="00B9614B" w:rsidP="004D4618">
      <w:pPr>
        <w:pStyle w:val="Prrafo"/>
        <w:numPr>
          <w:ilvl w:val="0"/>
          <w:numId w:val="6"/>
        </w:numPr>
        <w:spacing w:after="0"/>
        <w:ind w:left="0" w:hanging="567"/>
        <w:rPr>
          <w:color w:val="000000" w:themeColor="text1"/>
        </w:rPr>
      </w:pPr>
      <w:r w:rsidRPr="00E51638">
        <w:rPr>
          <w:color w:val="000000" w:themeColor="text1"/>
        </w:rPr>
        <w:t>E</w:t>
      </w:r>
      <w:r w:rsidR="00915B24" w:rsidRPr="00E51638">
        <w:rPr>
          <w:color w:val="000000" w:themeColor="text1"/>
        </w:rPr>
        <w:t xml:space="preserve">l Tribunal Constitucional Español </w:t>
      </w:r>
      <w:r w:rsidRPr="00E51638">
        <w:rPr>
          <w:color w:val="000000" w:themeColor="text1"/>
        </w:rPr>
        <w:t>siguió</w:t>
      </w:r>
      <w:r w:rsidR="00915B24" w:rsidRPr="00E51638">
        <w:rPr>
          <w:color w:val="000000" w:themeColor="text1"/>
        </w:rPr>
        <w:t xml:space="preserve"> modulando su doctrina</w:t>
      </w:r>
      <w:r w:rsidRPr="00E51638">
        <w:rPr>
          <w:color w:val="000000" w:themeColor="text1"/>
        </w:rPr>
        <w:t xml:space="preserve">, de manera que en </w:t>
      </w:r>
      <w:r w:rsidR="00915B24" w:rsidRPr="00E51638">
        <w:rPr>
          <w:color w:val="000000" w:themeColor="text1"/>
        </w:rPr>
        <w:t>la sentencia 161/19</w:t>
      </w:r>
      <w:r w:rsidR="00F96AFC" w:rsidRPr="00E51638">
        <w:rPr>
          <w:color w:val="000000" w:themeColor="text1"/>
        </w:rPr>
        <w:t>8</w:t>
      </w:r>
      <w:r w:rsidR="00915B24" w:rsidRPr="00E51638">
        <w:rPr>
          <w:color w:val="000000" w:themeColor="text1"/>
        </w:rPr>
        <w:t>8</w:t>
      </w:r>
      <w:r w:rsidRPr="00E51638">
        <w:rPr>
          <w:rStyle w:val="Refdenotaalpie"/>
          <w:color w:val="000000" w:themeColor="text1"/>
        </w:rPr>
        <w:footnoteReference w:id="56"/>
      </w:r>
      <w:r w:rsidR="007D5D0A" w:rsidRPr="00E51638">
        <w:rPr>
          <w:color w:val="000000" w:themeColor="text1"/>
        </w:rPr>
        <w:t xml:space="preserve"> expresó por primera vez</w:t>
      </w:r>
      <w:r w:rsidR="00EA2D23" w:rsidRPr="00E51638">
        <w:rPr>
          <w:color w:val="000000" w:themeColor="text1"/>
        </w:rPr>
        <w:t xml:space="preserve"> —y así lo reiteraría hasta el día de hoy—</w:t>
      </w:r>
      <w:r w:rsidR="007D5D0A" w:rsidRPr="00E51638">
        <w:rPr>
          <w:color w:val="000000" w:themeColor="text1"/>
        </w:rPr>
        <w:t xml:space="preserve"> que </w:t>
      </w:r>
      <w:r w:rsidR="003F30E4" w:rsidRPr="00E51638">
        <w:rPr>
          <w:color w:val="000000" w:themeColor="text1"/>
        </w:rPr>
        <w:t>era posible conocer de la vulneración de derechos fundamentales en procedimientos internos de las Cámaras, manifestando que la doctrina de los “</w:t>
      </w:r>
      <w:r w:rsidR="003F30E4" w:rsidRPr="00E51638">
        <w:rPr>
          <w:i/>
          <w:iCs/>
          <w:color w:val="000000" w:themeColor="text1"/>
        </w:rPr>
        <w:t xml:space="preserve">interna corporis acta” </w:t>
      </w:r>
      <w:r w:rsidR="003F30E4" w:rsidRPr="00E51638">
        <w:rPr>
          <w:color w:val="000000" w:themeColor="text1"/>
        </w:rPr>
        <w:t>sólo es aplicable para proteger la autonomía del Parlamento en la medida en que no exista lesión a los derechos y libertades protegidos en la Constitución.</w:t>
      </w:r>
    </w:p>
    <w:p w14:paraId="287473E8" w14:textId="4EE655A8" w:rsidR="00EA2D23" w:rsidRPr="00E51638" w:rsidRDefault="00EA2D23" w:rsidP="004D4618">
      <w:pPr>
        <w:pStyle w:val="Prrafo"/>
        <w:numPr>
          <w:ilvl w:val="0"/>
          <w:numId w:val="6"/>
        </w:numPr>
        <w:spacing w:after="0"/>
        <w:ind w:left="0" w:hanging="567"/>
        <w:rPr>
          <w:color w:val="000000" w:themeColor="text1"/>
        </w:rPr>
      </w:pPr>
      <w:r w:rsidRPr="00E51638">
        <w:rPr>
          <w:color w:val="000000" w:themeColor="text1"/>
        </w:rPr>
        <w:lastRenderedPageBreak/>
        <w:t xml:space="preserve">En esta sentencia, el Tribunal </w:t>
      </w:r>
      <w:r w:rsidR="006003D8" w:rsidRPr="00E51638">
        <w:rPr>
          <w:color w:val="000000" w:themeColor="text1"/>
        </w:rPr>
        <w:t xml:space="preserve">resolvió el recurso de amparo interpuesto por </w:t>
      </w:r>
      <w:r w:rsidR="00E578C7" w:rsidRPr="00E51638">
        <w:rPr>
          <w:color w:val="000000" w:themeColor="text1"/>
        </w:rPr>
        <w:t xml:space="preserve">diputados de las Cortes de Castilla-La Mancha en contra del Acuerdo de la Mesa de las Cortes, </w:t>
      </w:r>
      <w:r w:rsidR="00106098" w:rsidRPr="00E51638">
        <w:rPr>
          <w:color w:val="000000" w:themeColor="text1"/>
        </w:rPr>
        <w:t>por el que se les denegó</w:t>
      </w:r>
      <w:r w:rsidR="00E578C7" w:rsidRPr="00E51638">
        <w:rPr>
          <w:color w:val="000000" w:themeColor="text1"/>
        </w:rPr>
        <w:t xml:space="preserve"> la admisión a trámite de la solicitud que formularon para que se requiriera diversa información al Gobierno castellano-manchego</w:t>
      </w:r>
      <w:r w:rsidR="00106098" w:rsidRPr="00E51638">
        <w:rPr>
          <w:color w:val="000000" w:themeColor="text1"/>
        </w:rPr>
        <w:t>.</w:t>
      </w:r>
    </w:p>
    <w:p w14:paraId="7570FE59" w14:textId="5C1F324E" w:rsidR="00106098" w:rsidRPr="00E51638" w:rsidRDefault="00106098" w:rsidP="004D4618">
      <w:pPr>
        <w:pStyle w:val="Prrafo"/>
        <w:numPr>
          <w:ilvl w:val="0"/>
          <w:numId w:val="6"/>
        </w:numPr>
        <w:spacing w:after="0"/>
        <w:ind w:left="0" w:hanging="567"/>
        <w:rPr>
          <w:color w:val="000000" w:themeColor="text1"/>
        </w:rPr>
      </w:pPr>
      <w:r w:rsidRPr="00E51638">
        <w:rPr>
          <w:color w:val="000000" w:themeColor="text1"/>
        </w:rPr>
        <w:t>En primer lugar, se recordó que la doctrina de la irrecurribilidad de los actos parlamentarios internos responde al propósito de respetar la autonomía de las Cámaras Legislativas en orden a su autoorganización y propio funcionamiento, a efecto de que el recurso de amparo no sea utilizado como un control pleno de la conformidad de los actos internos con la Constitución; no obstante, ello no significa —sostuvo el Tribunal— que sean irrevisables por la jurisdicción constitucional cuando se les imputa haber ocasionado una concreta vulneración de los derechos fundamentales y libertades públicas, que son vinculantes para todos los poderes públicos, incluidos los Parlamentos y Cámaras.</w:t>
      </w:r>
    </w:p>
    <w:p w14:paraId="33D9C735" w14:textId="4B357D8A" w:rsidR="00106098" w:rsidRPr="00E51638" w:rsidRDefault="00106098" w:rsidP="004D4618">
      <w:pPr>
        <w:pStyle w:val="Prrafo"/>
        <w:numPr>
          <w:ilvl w:val="0"/>
          <w:numId w:val="6"/>
        </w:numPr>
        <w:spacing w:after="0"/>
        <w:ind w:left="0" w:hanging="567"/>
        <w:rPr>
          <w:color w:val="000000" w:themeColor="text1"/>
        </w:rPr>
      </w:pPr>
      <w:r w:rsidRPr="00E51638">
        <w:rPr>
          <w:color w:val="000000" w:themeColor="text1"/>
        </w:rPr>
        <w:t xml:space="preserve">De este modo, se reiteró </w:t>
      </w:r>
      <w:r w:rsidR="00B62F4F" w:rsidRPr="00E51638">
        <w:rPr>
          <w:color w:val="000000" w:themeColor="text1"/>
        </w:rPr>
        <w:t>la</w:t>
      </w:r>
      <w:r w:rsidRPr="00E51638">
        <w:rPr>
          <w:color w:val="000000" w:themeColor="text1"/>
        </w:rPr>
        <w:t xml:space="preserve"> doctrina de los “</w:t>
      </w:r>
      <w:r w:rsidRPr="00E51638">
        <w:rPr>
          <w:i/>
          <w:iCs/>
          <w:color w:val="000000" w:themeColor="text1"/>
        </w:rPr>
        <w:t>interna corporis acta</w:t>
      </w:r>
      <w:r w:rsidRPr="00E51638">
        <w:rPr>
          <w:color w:val="000000" w:themeColor="text1"/>
        </w:rPr>
        <w:t>”</w:t>
      </w:r>
      <w:r w:rsidR="00582988" w:rsidRPr="00E51638">
        <w:rPr>
          <w:color w:val="000000" w:themeColor="text1"/>
        </w:rPr>
        <w:t>, pero se consideró que el caso particular no encuadraba en ese supuesto de irrecurribilidad de los actos parlamentarios, pues los demandantes señalaban, precisamente, que los actos impugnados les había lesionado derechos fundamentales susceptibles de tutela por la vía del amparo</w:t>
      </w:r>
      <w:r w:rsidR="008621CB" w:rsidRPr="00E51638">
        <w:rPr>
          <w:color w:val="000000" w:themeColor="text1"/>
        </w:rPr>
        <w:t xml:space="preserve"> (acusaron que se les privó del derecho a recabar los datos, informes y documentos que obren en la Administración Regional, por conducto de la Mesa de las Cortes, lo que obstruyó el derecho de los parlamentarios de ejercer tareas de control político)</w:t>
      </w:r>
      <w:r w:rsidR="00582988" w:rsidRPr="00E51638">
        <w:rPr>
          <w:color w:val="000000" w:themeColor="text1"/>
        </w:rPr>
        <w:t>.</w:t>
      </w:r>
    </w:p>
    <w:p w14:paraId="5B5426F2" w14:textId="77A9EE42" w:rsidR="00106098" w:rsidRPr="00E51638" w:rsidRDefault="008621CB" w:rsidP="004D4618">
      <w:pPr>
        <w:pStyle w:val="Prrafo"/>
        <w:numPr>
          <w:ilvl w:val="0"/>
          <w:numId w:val="6"/>
        </w:numPr>
        <w:spacing w:after="0"/>
        <w:ind w:left="0" w:hanging="567"/>
        <w:rPr>
          <w:color w:val="000000" w:themeColor="text1"/>
        </w:rPr>
      </w:pPr>
      <w:r w:rsidRPr="00E51638">
        <w:rPr>
          <w:color w:val="000000" w:themeColor="text1"/>
        </w:rPr>
        <w:t>Asimismo, el Tribunal Constitucional sostuvo que los derechos y facultades contemplados en los Reglamentos parlamentarios y en las leyes secundarias, quedan integrados en el “</w:t>
      </w:r>
      <w:r w:rsidRPr="00E51638">
        <w:rPr>
          <w:i/>
          <w:iCs/>
          <w:color w:val="000000" w:themeColor="text1"/>
        </w:rPr>
        <w:t>status de los parlamentarios</w:t>
      </w:r>
      <w:r w:rsidRPr="00E51638">
        <w:rPr>
          <w:color w:val="000000" w:themeColor="text1"/>
        </w:rPr>
        <w:t xml:space="preserve">”, lo que se encuentra protegido por el derecho de acceso y ejercicio del cargo público representativo y forma parte del </w:t>
      </w:r>
      <w:r w:rsidRPr="00E51638">
        <w:rPr>
          <w:i/>
          <w:iCs/>
          <w:color w:val="000000" w:themeColor="text1"/>
        </w:rPr>
        <w:t>ius in officium.</w:t>
      </w:r>
    </w:p>
    <w:p w14:paraId="23025989" w14:textId="3F28C241" w:rsidR="008621CB" w:rsidRPr="00E51638" w:rsidRDefault="008621CB" w:rsidP="004D4618">
      <w:pPr>
        <w:pStyle w:val="Prrafo"/>
        <w:numPr>
          <w:ilvl w:val="0"/>
          <w:numId w:val="6"/>
        </w:numPr>
        <w:spacing w:after="0"/>
        <w:ind w:left="0" w:hanging="567"/>
        <w:rPr>
          <w:color w:val="000000" w:themeColor="text1"/>
        </w:rPr>
      </w:pPr>
      <w:r w:rsidRPr="00E51638">
        <w:rPr>
          <w:color w:val="000000" w:themeColor="text1"/>
        </w:rPr>
        <w:t xml:space="preserve">Explicado lo anterior, el Tribunal Constitucional consideró que en ese caso, la inadmisión de las solicitudes de información </w:t>
      </w:r>
      <w:r w:rsidR="004913F8" w:rsidRPr="00E51638">
        <w:rPr>
          <w:color w:val="000000" w:themeColor="text1"/>
        </w:rPr>
        <w:t xml:space="preserve">desconoció el derecho de los parlamentarios de ejercer, sin traba ilegítima, las funciones que el Reglamento </w:t>
      </w:r>
      <w:r w:rsidR="004913F8" w:rsidRPr="00E51638">
        <w:rPr>
          <w:color w:val="000000" w:themeColor="text1"/>
        </w:rPr>
        <w:lastRenderedPageBreak/>
        <w:t>de la Cámara les atribuye y, por tanto, se lesionó el derecho fundamental de participación política.</w:t>
      </w:r>
    </w:p>
    <w:p w14:paraId="312DEC6F" w14:textId="731EDAF4" w:rsidR="00EA2D23" w:rsidRPr="00E51638" w:rsidRDefault="00EA2D23" w:rsidP="004D4618">
      <w:pPr>
        <w:pStyle w:val="Prrafo"/>
        <w:numPr>
          <w:ilvl w:val="0"/>
          <w:numId w:val="6"/>
        </w:numPr>
        <w:spacing w:after="0"/>
        <w:ind w:left="0" w:hanging="567"/>
        <w:rPr>
          <w:color w:val="000000" w:themeColor="text1"/>
        </w:rPr>
      </w:pPr>
      <w:r w:rsidRPr="00E51638">
        <w:rPr>
          <w:color w:val="000000" w:themeColor="text1"/>
        </w:rPr>
        <w:t>A partir de la sentencia 161/1988 el Tribunal Constitucional Español continuó reiterando e incrementando el ámbito de competencias del Tribunal para conocer de casos intraparlamentarios</w:t>
      </w:r>
      <w:r w:rsidR="00D17180" w:rsidRPr="00E51638">
        <w:rPr>
          <w:color w:val="000000" w:themeColor="text1"/>
        </w:rPr>
        <w:t xml:space="preserve">. </w:t>
      </w:r>
    </w:p>
    <w:p w14:paraId="44AD96C1" w14:textId="77777777" w:rsidR="001F36A7" w:rsidRPr="00E51638" w:rsidRDefault="00EA2D23" w:rsidP="004D4618">
      <w:pPr>
        <w:pStyle w:val="Prrafo"/>
        <w:numPr>
          <w:ilvl w:val="0"/>
          <w:numId w:val="6"/>
        </w:numPr>
        <w:spacing w:after="0"/>
        <w:ind w:left="0" w:hanging="567"/>
        <w:rPr>
          <w:color w:val="000000" w:themeColor="text1"/>
        </w:rPr>
      </w:pPr>
      <w:r w:rsidRPr="00E51638">
        <w:rPr>
          <w:color w:val="000000" w:themeColor="text1"/>
        </w:rPr>
        <w:t>De este modo, el Tribunal consideró tutelables todas aquellas prerrogativas que constituyen el “</w:t>
      </w:r>
      <w:r w:rsidRPr="00E51638">
        <w:rPr>
          <w:i/>
          <w:iCs/>
          <w:color w:val="000000" w:themeColor="text1"/>
        </w:rPr>
        <w:t>estatus del Parlamentario</w:t>
      </w:r>
      <w:r w:rsidRPr="00E51638">
        <w:rPr>
          <w:color w:val="000000" w:themeColor="text1"/>
        </w:rPr>
        <w:t>” y se conforman por los derechos reconocidos en las leyes secundarias y en los reglamentos de las Cámaras (siempre y cuando tengan incidencia en los derechos de participación política)</w:t>
      </w:r>
      <w:r w:rsidR="00D17180" w:rsidRPr="00E51638">
        <w:rPr>
          <w:color w:val="000000" w:themeColor="text1"/>
        </w:rPr>
        <w:t xml:space="preserve">. </w:t>
      </w:r>
    </w:p>
    <w:p w14:paraId="0DB7218C" w14:textId="577528DD" w:rsidR="00EA2D23" w:rsidRPr="00E51638" w:rsidRDefault="00EA2D23" w:rsidP="004D4618">
      <w:pPr>
        <w:pStyle w:val="Prrafo"/>
        <w:numPr>
          <w:ilvl w:val="0"/>
          <w:numId w:val="6"/>
        </w:numPr>
        <w:spacing w:after="0"/>
        <w:ind w:left="0" w:hanging="567"/>
        <w:rPr>
          <w:color w:val="000000" w:themeColor="text1"/>
        </w:rPr>
      </w:pPr>
      <w:r w:rsidRPr="00E51638">
        <w:rPr>
          <w:color w:val="000000" w:themeColor="text1"/>
        </w:rPr>
        <w:t>Así, el Tribunal ha reconocido que forman parte del derecho de acceso y desempeño del cargo representativo: la presentación de enmiendas</w:t>
      </w:r>
      <w:r w:rsidRPr="00E51638">
        <w:rPr>
          <w:rStyle w:val="Refdenotaalpie"/>
          <w:color w:val="000000" w:themeColor="text1"/>
        </w:rPr>
        <w:footnoteReference w:id="57"/>
      </w:r>
      <w:r w:rsidRPr="00E51638">
        <w:rPr>
          <w:color w:val="000000" w:themeColor="text1"/>
        </w:rPr>
        <w:t xml:space="preserve">, </w:t>
      </w:r>
      <w:r w:rsidR="000C71AF" w:rsidRPr="00E51638">
        <w:rPr>
          <w:color w:val="000000" w:themeColor="text1"/>
        </w:rPr>
        <w:t>admisión y trámite de documentos e iniciativas parlamentarias (procedimiento parlamentario en general)</w:t>
      </w:r>
      <w:r w:rsidRPr="00E51638">
        <w:rPr>
          <w:rStyle w:val="Refdenotaalpie"/>
          <w:color w:val="000000" w:themeColor="text1"/>
        </w:rPr>
        <w:footnoteReference w:id="58"/>
      </w:r>
      <w:r w:rsidRPr="00E51638">
        <w:rPr>
          <w:color w:val="000000" w:themeColor="text1"/>
        </w:rPr>
        <w:t>, la percepción por los grupos parlamentarios de subvenciones</w:t>
      </w:r>
      <w:r w:rsidRPr="00E51638">
        <w:rPr>
          <w:rStyle w:val="Refdenotaalpie"/>
          <w:color w:val="000000" w:themeColor="text1"/>
        </w:rPr>
        <w:footnoteReference w:id="59"/>
      </w:r>
      <w:r w:rsidRPr="00E51638">
        <w:rPr>
          <w:color w:val="000000" w:themeColor="text1"/>
        </w:rPr>
        <w:t>, la participación como elector o elegible en la designación de los cargos que representan a los parlamentos</w:t>
      </w:r>
      <w:r w:rsidRPr="00E51638">
        <w:rPr>
          <w:rStyle w:val="Refdenotaalpie"/>
          <w:color w:val="000000" w:themeColor="text1"/>
        </w:rPr>
        <w:footnoteReference w:id="60"/>
      </w:r>
      <w:r w:rsidRPr="00E51638">
        <w:rPr>
          <w:color w:val="000000" w:themeColor="text1"/>
        </w:rPr>
        <w:t>, el derecho a formar parte de las comisiones</w:t>
      </w:r>
      <w:r w:rsidRPr="00E51638">
        <w:rPr>
          <w:rStyle w:val="Refdenotaalpie"/>
          <w:color w:val="000000" w:themeColor="text1"/>
        </w:rPr>
        <w:footnoteReference w:id="61"/>
      </w:r>
      <w:r w:rsidRPr="00E51638">
        <w:rPr>
          <w:color w:val="000000" w:themeColor="text1"/>
        </w:rPr>
        <w:t xml:space="preserve"> y a recabar información</w:t>
      </w:r>
      <w:r w:rsidRPr="00E51638">
        <w:rPr>
          <w:rStyle w:val="Refdenotaalpie"/>
          <w:color w:val="000000" w:themeColor="text1"/>
        </w:rPr>
        <w:footnoteReference w:id="62"/>
      </w:r>
      <w:r w:rsidRPr="00E51638">
        <w:rPr>
          <w:color w:val="000000" w:themeColor="text1"/>
        </w:rPr>
        <w:t>.</w:t>
      </w:r>
    </w:p>
    <w:p w14:paraId="3BF19BD7" w14:textId="333AFE7E" w:rsidR="00E03463" w:rsidRPr="00E51638" w:rsidRDefault="00E03463" w:rsidP="004D4618">
      <w:pPr>
        <w:pStyle w:val="Prrafo"/>
        <w:numPr>
          <w:ilvl w:val="0"/>
          <w:numId w:val="6"/>
        </w:numPr>
        <w:spacing w:after="0"/>
        <w:ind w:left="0" w:hanging="567"/>
        <w:rPr>
          <w:color w:val="000000" w:themeColor="text1"/>
        </w:rPr>
      </w:pPr>
      <w:r w:rsidRPr="00E51638">
        <w:rPr>
          <w:color w:val="000000" w:themeColor="text1"/>
        </w:rPr>
        <w:t>De tod</w:t>
      </w:r>
      <w:r w:rsidR="00D9427C" w:rsidRPr="00E51638">
        <w:rPr>
          <w:color w:val="000000" w:themeColor="text1"/>
        </w:rPr>
        <w:t>a</w:t>
      </w:r>
      <w:r w:rsidRPr="00E51638">
        <w:rPr>
          <w:color w:val="000000" w:themeColor="text1"/>
        </w:rPr>
        <w:t>s es</w:t>
      </w:r>
      <w:r w:rsidR="00447BC2" w:rsidRPr="00E51638">
        <w:rPr>
          <w:color w:val="000000" w:themeColor="text1"/>
        </w:rPr>
        <w:t>as sentencias, destaca la STC 220/1991</w:t>
      </w:r>
      <w:r w:rsidR="00447BC2" w:rsidRPr="00E51638">
        <w:rPr>
          <w:rStyle w:val="Refdenotaalpie"/>
          <w:color w:val="000000" w:themeColor="text1"/>
        </w:rPr>
        <w:footnoteReference w:id="63"/>
      </w:r>
      <w:r w:rsidR="00447BC2" w:rsidRPr="00E51638">
        <w:rPr>
          <w:color w:val="000000" w:themeColor="text1"/>
        </w:rPr>
        <w:t xml:space="preserve"> en la que el Tribunal Constitucional dictó las notas características que debe tener un acto parlamentario para poder ser justiciable en sede jurisdiccional</w:t>
      </w:r>
      <w:r w:rsidR="00D17180" w:rsidRPr="00E51638">
        <w:rPr>
          <w:color w:val="000000" w:themeColor="text1"/>
        </w:rPr>
        <w:t xml:space="preserve">. </w:t>
      </w:r>
      <w:r w:rsidR="00447BC2" w:rsidRPr="00E51638">
        <w:rPr>
          <w:color w:val="000000" w:themeColor="text1"/>
        </w:rPr>
        <w:t xml:space="preserve">En este caso, el Tribunal sostuvo que el </w:t>
      </w:r>
      <w:r w:rsidR="00447BC2" w:rsidRPr="00E51638">
        <w:rPr>
          <w:i/>
          <w:iCs/>
          <w:color w:val="000000" w:themeColor="text1"/>
        </w:rPr>
        <w:t xml:space="preserve">ius in officium </w:t>
      </w:r>
      <w:r w:rsidR="00447BC2" w:rsidRPr="00E51638">
        <w:rPr>
          <w:color w:val="000000" w:themeColor="text1"/>
        </w:rPr>
        <w:t xml:space="preserve">o derecho de acceso y ejercicio de los cargos públicos representativos no significa que todos los derechos y facultades que conforman el status del Parlamentario, deban ser judicializables, sino </w:t>
      </w:r>
      <w:r w:rsidR="00447BC2" w:rsidRPr="00E51638">
        <w:rPr>
          <w:color w:val="000000" w:themeColor="text1"/>
          <w:u w:val="single"/>
        </w:rPr>
        <w:t>sólo aquellos que pertenezcan al núcleo esencial de la función representativa parlamentaria, que son aquellos que tienen relación directa con el ejercicio de las potestades legislativas y de control de la acción del Gobierno</w:t>
      </w:r>
      <w:r w:rsidR="00447BC2" w:rsidRPr="00E51638">
        <w:rPr>
          <w:color w:val="000000" w:themeColor="text1"/>
        </w:rPr>
        <w:t>.</w:t>
      </w:r>
    </w:p>
    <w:p w14:paraId="5A1A86B5" w14:textId="711A1A2D" w:rsidR="00A92792" w:rsidRPr="00E51638" w:rsidRDefault="00A92792" w:rsidP="004D4618">
      <w:pPr>
        <w:pStyle w:val="Prrafo"/>
        <w:numPr>
          <w:ilvl w:val="0"/>
          <w:numId w:val="6"/>
        </w:numPr>
        <w:spacing w:after="0"/>
        <w:ind w:left="0" w:hanging="567"/>
        <w:rPr>
          <w:color w:val="000000" w:themeColor="text1"/>
        </w:rPr>
      </w:pPr>
      <w:r w:rsidRPr="00E51638">
        <w:rPr>
          <w:color w:val="000000" w:themeColor="text1"/>
        </w:rPr>
        <w:lastRenderedPageBreak/>
        <w:t>De este modo, el Tribunal incorporó el concepto del “</w:t>
      </w:r>
      <w:r w:rsidRPr="00E51638">
        <w:rPr>
          <w:i/>
          <w:iCs/>
          <w:color w:val="000000" w:themeColor="text1"/>
        </w:rPr>
        <w:t>núcleo esencial de la función representativa parlamentaria</w:t>
      </w:r>
      <w:r w:rsidRPr="00E51638">
        <w:rPr>
          <w:color w:val="000000" w:themeColor="text1"/>
        </w:rPr>
        <w:t xml:space="preserve">” </w:t>
      </w:r>
      <w:r w:rsidR="00EE2C2E" w:rsidRPr="00E51638">
        <w:rPr>
          <w:color w:val="000000" w:themeColor="text1"/>
        </w:rPr>
        <w:t>para analizar, caso por caso, la posible vulneración del derecho fundamental al ejercicio de los cargos públicos representativos de los parlamentarios</w:t>
      </w:r>
      <w:r w:rsidR="00D17180" w:rsidRPr="00E51638">
        <w:rPr>
          <w:color w:val="000000" w:themeColor="text1"/>
        </w:rPr>
        <w:t xml:space="preserve">. </w:t>
      </w:r>
      <w:r w:rsidR="00EE2C2E" w:rsidRPr="00E51638">
        <w:rPr>
          <w:color w:val="000000" w:themeColor="text1"/>
        </w:rPr>
        <w:t>Este concepto permite distinguir cuáles son las facultades constitucionales que pueden ser protegidas por un derecho fundamental y cuáles son los actos políticos que no son susceptibles de tutela por la jurisdicción constitucional</w:t>
      </w:r>
      <w:r w:rsidR="00EE2C2E" w:rsidRPr="00E51638">
        <w:rPr>
          <w:rStyle w:val="Refdenotaalpie"/>
          <w:color w:val="000000" w:themeColor="text1"/>
        </w:rPr>
        <w:footnoteReference w:id="64"/>
      </w:r>
      <w:r w:rsidR="00EE2C2E" w:rsidRPr="00E51638">
        <w:rPr>
          <w:color w:val="000000" w:themeColor="text1"/>
        </w:rPr>
        <w:t>.</w:t>
      </w:r>
    </w:p>
    <w:p w14:paraId="0ED526D5" w14:textId="77777777" w:rsidR="006D7CBC" w:rsidRPr="00E51638" w:rsidRDefault="00DC37BA" w:rsidP="004D4618">
      <w:pPr>
        <w:pStyle w:val="Prrafo"/>
        <w:numPr>
          <w:ilvl w:val="0"/>
          <w:numId w:val="6"/>
        </w:numPr>
        <w:spacing w:after="0"/>
        <w:ind w:left="0" w:hanging="567"/>
        <w:rPr>
          <w:color w:val="000000" w:themeColor="text1"/>
        </w:rPr>
      </w:pPr>
      <w:r w:rsidRPr="00E51638">
        <w:rPr>
          <w:color w:val="000000" w:themeColor="text1"/>
        </w:rPr>
        <w:t xml:space="preserve">Como se puede advertir, la doctrina jurisdiccional que ha sostenido el Tribunal Constitucional de España ha dado especial protección a los parlamentarios, permitiéndoles </w:t>
      </w:r>
      <w:r w:rsidR="00285966" w:rsidRPr="00E51638">
        <w:rPr>
          <w:color w:val="000000" w:themeColor="text1"/>
        </w:rPr>
        <w:t>acudir a sede jurisdiccional constitucional para pedir que se garantice el núcleo de su función representativa, es decir, que se asegure que quienes tienen un cargo público representativo puedan desempeñarlo conforme a las atribuciones y funciones que le atribuye la Legislación correspondiente</w:t>
      </w:r>
      <w:r w:rsidR="00D17180" w:rsidRPr="00E51638">
        <w:rPr>
          <w:color w:val="000000" w:themeColor="text1"/>
        </w:rPr>
        <w:t xml:space="preserve">. </w:t>
      </w:r>
    </w:p>
    <w:p w14:paraId="12AA1031" w14:textId="417A6082" w:rsidR="00285966" w:rsidRPr="00E51638" w:rsidRDefault="00285966" w:rsidP="004D4618">
      <w:pPr>
        <w:pStyle w:val="Prrafo"/>
        <w:numPr>
          <w:ilvl w:val="0"/>
          <w:numId w:val="6"/>
        </w:numPr>
        <w:spacing w:after="0"/>
        <w:ind w:left="0" w:hanging="567"/>
        <w:rPr>
          <w:color w:val="000000" w:themeColor="text1"/>
        </w:rPr>
      </w:pPr>
      <w:r w:rsidRPr="00E51638">
        <w:rPr>
          <w:color w:val="000000" w:themeColor="text1"/>
        </w:rPr>
        <w:t xml:space="preserve">Básicamente, la idea que subyace en </w:t>
      </w:r>
      <w:r w:rsidR="007A6F50" w:rsidRPr="00E51638">
        <w:rPr>
          <w:color w:val="000000" w:themeColor="text1"/>
        </w:rPr>
        <w:t>esta</w:t>
      </w:r>
      <w:r w:rsidRPr="00E51638">
        <w:rPr>
          <w:color w:val="000000" w:themeColor="text1"/>
        </w:rPr>
        <w:t xml:space="preserve"> jurisprudencia es que la protección de los derechos fundamentales no puede escapar a autoridad o poder alguno, ni siquiera bajo el pretexto de la autonomía parlamentaria, pues el Parlamento no se encuentra legitimado para vulnerar la Constitución.</w:t>
      </w:r>
    </w:p>
    <w:p w14:paraId="190B417A" w14:textId="72A691E7" w:rsidR="00AF4B44" w:rsidRPr="00E51638" w:rsidRDefault="00285966" w:rsidP="004D4618">
      <w:pPr>
        <w:pStyle w:val="Prrafo"/>
        <w:numPr>
          <w:ilvl w:val="0"/>
          <w:numId w:val="6"/>
        </w:numPr>
        <w:spacing w:after="0"/>
        <w:ind w:left="0" w:hanging="567"/>
        <w:rPr>
          <w:color w:val="000000" w:themeColor="text1"/>
        </w:rPr>
      </w:pPr>
      <w:r w:rsidRPr="00E51638">
        <w:rPr>
          <w:color w:val="000000" w:themeColor="text1"/>
        </w:rPr>
        <w:t xml:space="preserve">Esta doctrina constitucional ha permeado a otras Altas Cortes como la de Colombia, que en su sentencia </w:t>
      </w:r>
      <w:r w:rsidR="009822F1" w:rsidRPr="00E51638">
        <w:rPr>
          <w:color w:val="000000" w:themeColor="text1"/>
        </w:rPr>
        <w:t>T-983A/04</w:t>
      </w:r>
      <w:r w:rsidR="004719AC" w:rsidRPr="00E51638">
        <w:rPr>
          <w:rStyle w:val="Refdenotaalpie"/>
          <w:color w:val="000000" w:themeColor="text1"/>
        </w:rPr>
        <w:footnoteReference w:id="65"/>
      </w:r>
      <w:r w:rsidR="009822F1" w:rsidRPr="00E51638">
        <w:rPr>
          <w:color w:val="000000" w:themeColor="text1"/>
        </w:rPr>
        <w:t xml:space="preserve"> </w:t>
      </w:r>
      <w:r w:rsidR="007A6F50" w:rsidRPr="00E51638">
        <w:rPr>
          <w:color w:val="000000" w:themeColor="text1"/>
        </w:rPr>
        <w:t xml:space="preserve">la </w:t>
      </w:r>
      <w:r w:rsidR="009822F1" w:rsidRPr="00E51638">
        <w:rPr>
          <w:color w:val="000000" w:themeColor="text1"/>
        </w:rPr>
        <w:t>ha reiterado prácticamente en los mismos términos.</w:t>
      </w:r>
    </w:p>
    <w:p w14:paraId="472E4CE9" w14:textId="2F2348E1" w:rsidR="00AF4B44" w:rsidRPr="00E51638" w:rsidRDefault="00AF4B44" w:rsidP="00AF4B44">
      <w:pPr>
        <w:pStyle w:val="Prrafo"/>
        <w:numPr>
          <w:ilvl w:val="0"/>
          <w:numId w:val="6"/>
        </w:numPr>
        <w:spacing w:after="0"/>
        <w:ind w:left="0" w:hanging="567"/>
        <w:rPr>
          <w:color w:val="000000" w:themeColor="text1"/>
        </w:rPr>
      </w:pPr>
      <w:r w:rsidRPr="00E51638">
        <w:rPr>
          <w:color w:val="000000" w:themeColor="text1"/>
        </w:rPr>
        <w:t>En dicha sentencia, la Corte Constitucional de Colombia ha sostenido que “l</w:t>
      </w:r>
      <w:r w:rsidRPr="00E51638">
        <w:rPr>
          <w:i/>
          <w:iCs/>
          <w:color w:val="000000" w:themeColor="text1"/>
        </w:rPr>
        <w:t xml:space="preserve">as Mesas Directivas del Congreso no pueden impedir o dificultar el control político que ejerce un Congresista </w:t>
      </w:r>
      <w:r w:rsidR="00AE0522" w:rsidRPr="00E51638">
        <w:rPr>
          <w:i/>
          <w:iCs/>
          <w:color w:val="000000" w:themeColor="text1"/>
        </w:rPr>
        <w:t>—</w:t>
      </w:r>
      <w:r w:rsidRPr="00E51638">
        <w:rPr>
          <w:i/>
          <w:iCs/>
          <w:color w:val="000000" w:themeColor="text1"/>
        </w:rPr>
        <w:t>de una fuerza política minoritaria</w:t>
      </w:r>
      <w:r w:rsidR="00AE0522" w:rsidRPr="00E51638">
        <w:rPr>
          <w:i/>
          <w:iCs/>
          <w:color w:val="000000" w:themeColor="text1"/>
        </w:rPr>
        <w:t>—</w:t>
      </w:r>
      <w:r w:rsidRPr="00E51638">
        <w:rPr>
          <w:i/>
          <w:iCs/>
          <w:color w:val="000000" w:themeColor="text1"/>
        </w:rPr>
        <w:t xml:space="preserve"> sobre las actuaciones del Gobierno, pues a través de dicho mecanismo se cristalizan los intereses de sus electores, como una de las finalidades esenciales del Estado dentro de una democracia participativa”.</w:t>
      </w:r>
      <w:r w:rsidRPr="00E51638">
        <w:rPr>
          <w:color w:val="000000" w:themeColor="text1"/>
        </w:rPr>
        <w:t xml:space="preserve"> </w:t>
      </w:r>
    </w:p>
    <w:p w14:paraId="4EE54D13" w14:textId="6B8E94C5" w:rsidR="00AF4B44" w:rsidRPr="00E51638" w:rsidRDefault="00AF4B44" w:rsidP="00AF4B44">
      <w:pPr>
        <w:pStyle w:val="Prrafo"/>
        <w:numPr>
          <w:ilvl w:val="0"/>
          <w:numId w:val="6"/>
        </w:numPr>
        <w:spacing w:after="0"/>
        <w:ind w:left="0" w:hanging="567"/>
        <w:rPr>
          <w:color w:val="000000" w:themeColor="text1"/>
        </w:rPr>
      </w:pPr>
      <w:r w:rsidRPr="00E51638">
        <w:rPr>
          <w:color w:val="000000" w:themeColor="text1"/>
        </w:rPr>
        <w:lastRenderedPageBreak/>
        <w:t xml:space="preserve">De esta forma, la Corte colombiana parte de la doctrina del </w:t>
      </w:r>
      <w:r w:rsidRPr="00E51638">
        <w:rPr>
          <w:i/>
          <w:iCs/>
          <w:color w:val="000000" w:themeColor="text1"/>
        </w:rPr>
        <w:t xml:space="preserve">ius in officium y del núcleo esencial de la función parlamentaria </w:t>
      </w:r>
      <w:r w:rsidRPr="00E51638">
        <w:rPr>
          <w:color w:val="000000" w:themeColor="text1"/>
        </w:rPr>
        <w:t>para sostener que “</w:t>
      </w:r>
      <w:r w:rsidRPr="00E51638">
        <w:rPr>
          <w:i/>
          <w:iCs/>
          <w:color w:val="000000" w:themeColor="text1"/>
        </w:rPr>
        <w:t xml:space="preserve">excepcionalmente se admite el control en sede de tutela </w:t>
      </w:r>
      <w:r w:rsidRPr="00E51638">
        <w:rPr>
          <w:color w:val="000000" w:themeColor="text1"/>
        </w:rPr>
        <w:t>[de actos intraparlamentarios]</w:t>
      </w:r>
      <w:r w:rsidRPr="00E51638">
        <w:rPr>
          <w:i/>
          <w:iCs/>
          <w:color w:val="000000" w:themeColor="text1"/>
        </w:rPr>
        <w:t>, cuando el mismo control parlamentario es insuficiente para proteger el alcance del derecho el ius in officium de los congresistas. De este modo, no se trata de defender la existencia de actos y de ámbitos parlamentarios exentos e inmunes a cualquier control jurisdiccional, sino de preservar un núcleo mínimo de autonomía de las Cámaras Legislativas para organizarse y funcionar sin injerencias ajenas</w:t>
      </w:r>
      <w:r w:rsidRPr="00E51638">
        <w:rPr>
          <w:color w:val="000000" w:themeColor="text1"/>
        </w:rPr>
        <w:t>”</w:t>
      </w:r>
      <w:r w:rsidR="004719AC" w:rsidRPr="00E51638">
        <w:rPr>
          <w:color w:val="000000" w:themeColor="text1"/>
        </w:rPr>
        <w:t>.</w:t>
      </w:r>
    </w:p>
    <w:p w14:paraId="6B76043B" w14:textId="7AAAC63C" w:rsidR="0070348F" w:rsidRPr="00E51638" w:rsidRDefault="004719AC" w:rsidP="00D618FE">
      <w:pPr>
        <w:pStyle w:val="Prrafo"/>
        <w:numPr>
          <w:ilvl w:val="0"/>
          <w:numId w:val="6"/>
        </w:numPr>
        <w:spacing w:after="0"/>
        <w:ind w:left="0" w:hanging="567"/>
        <w:rPr>
          <w:color w:val="000000" w:themeColor="text1"/>
        </w:rPr>
      </w:pPr>
      <w:r w:rsidRPr="00E51638">
        <w:rPr>
          <w:color w:val="000000" w:themeColor="text1"/>
        </w:rPr>
        <w:t xml:space="preserve">Por ese motivo, se concluyó que cuando se trata de constatar si </w:t>
      </w:r>
      <w:r w:rsidRPr="00E51638">
        <w:rPr>
          <w:color w:val="000000" w:themeColor="text1"/>
          <w:lang w:val="es-ES_tradnl"/>
        </w:rPr>
        <w:t>la actuación de las Mesas Directivas del Congreso vulneraron el derecho de participación política con relación al ejercicio del control político ejercido por las cámaras legislativas o por sus integrantes, el juez constitucional es competente para conocer del juicio de tutela.</w:t>
      </w:r>
    </w:p>
    <w:p w14:paraId="2ACF92A8" w14:textId="2EFC1E3F" w:rsidR="0070348F" w:rsidRPr="00E51638" w:rsidRDefault="00850A1B" w:rsidP="0025259E">
      <w:pPr>
        <w:pStyle w:val="Prrafo"/>
        <w:spacing w:after="0"/>
        <w:ind w:left="708"/>
        <w:outlineLvl w:val="5"/>
        <w:rPr>
          <w:b/>
          <w:bCs/>
          <w:color w:val="000000" w:themeColor="text1"/>
        </w:rPr>
      </w:pPr>
      <w:bookmarkStart w:id="82" w:name="_Toc108630508"/>
      <w:bookmarkStart w:id="83" w:name="_Toc108795873"/>
      <w:bookmarkStart w:id="84" w:name="_Toc109004127"/>
      <w:bookmarkStart w:id="85" w:name="_Toc113984445"/>
      <w:r w:rsidRPr="00E51638">
        <w:rPr>
          <w:b/>
          <w:bCs/>
          <w:color w:val="000000" w:themeColor="text1"/>
        </w:rPr>
        <w:t>C.2. Evolución de la doctrina de la Suprema Corte de Justicia de la Nación.</w:t>
      </w:r>
      <w:bookmarkEnd w:id="82"/>
      <w:bookmarkEnd w:id="83"/>
      <w:bookmarkEnd w:id="84"/>
      <w:bookmarkEnd w:id="85"/>
    </w:p>
    <w:p w14:paraId="0E27D9AA" w14:textId="257D6D44" w:rsidR="004F4F55" w:rsidRPr="00E51638" w:rsidRDefault="0070348F" w:rsidP="00A65B44">
      <w:pPr>
        <w:pStyle w:val="Prrafo"/>
        <w:numPr>
          <w:ilvl w:val="0"/>
          <w:numId w:val="6"/>
        </w:numPr>
        <w:spacing w:after="0"/>
        <w:ind w:left="0" w:hanging="567"/>
        <w:rPr>
          <w:color w:val="000000" w:themeColor="text1"/>
        </w:rPr>
      </w:pPr>
      <w:r w:rsidRPr="00E51638">
        <w:rPr>
          <w:color w:val="000000" w:themeColor="text1"/>
        </w:rPr>
        <w:t>Ahora, esta Suprema Corte de Justicia de la Nación ha venido construyendo una línea jurisprudencial en torno a la judicialización de los actos intraparlamentarios que impactan en el derecho de los congresistas de acceso y desempeño del cargo público, así como de las personas a ser representadas en los asuntos de relevancia pública.</w:t>
      </w:r>
    </w:p>
    <w:p w14:paraId="57D5814C" w14:textId="41F794CB" w:rsidR="006549CB" w:rsidRPr="00E51638" w:rsidRDefault="006549CB" w:rsidP="00A65B44">
      <w:pPr>
        <w:pStyle w:val="Prrafo"/>
        <w:numPr>
          <w:ilvl w:val="0"/>
          <w:numId w:val="6"/>
        </w:numPr>
        <w:spacing w:after="0"/>
        <w:ind w:left="0" w:hanging="567"/>
        <w:rPr>
          <w:color w:val="000000" w:themeColor="text1"/>
        </w:rPr>
      </w:pPr>
      <w:r w:rsidRPr="00E51638">
        <w:rPr>
          <w:color w:val="000000" w:themeColor="text1"/>
        </w:rPr>
        <w:t xml:space="preserve">En </w:t>
      </w:r>
      <w:r w:rsidR="00540800" w:rsidRPr="00E51638">
        <w:rPr>
          <w:color w:val="000000" w:themeColor="text1"/>
        </w:rPr>
        <w:t xml:space="preserve">sus primeras sentencias, </w:t>
      </w:r>
      <w:r w:rsidR="007A6F50" w:rsidRPr="00E51638">
        <w:rPr>
          <w:color w:val="000000" w:themeColor="text1"/>
        </w:rPr>
        <w:t>esta</w:t>
      </w:r>
      <w:r w:rsidR="00540800" w:rsidRPr="00E51638">
        <w:rPr>
          <w:color w:val="000000" w:themeColor="text1"/>
        </w:rPr>
        <w:t xml:space="preserve"> Suprema Corte de Justicia de la Nación fue trazando las líneas generales de la doctrina sobre la recurribilidad de los actos parlamentarios, la cual ha seguido evolucionando con el paso del tiempo para adaptarse a la realidad del País y </w:t>
      </w:r>
      <w:r w:rsidR="0011193C" w:rsidRPr="00E51638">
        <w:rPr>
          <w:color w:val="000000" w:themeColor="text1"/>
        </w:rPr>
        <w:t>a</w:t>
      </w:r>
      <w:r w:rsidR="00540800" w:rsidRPr="00E51638">
        <w:rPr>
          <w:color w:val="000000" w:themeColor="text1"/>
        </w:rPr>
        <w:t xml:space="preserve"> la tendencia global de maximizar el acceso a la justicia.</w:t>
      </w:r>
    </w:p>
    <w:p w14:paraId="0D47F54F" w14:textId="37DEBC46" w:rsidR="00540800" w:rsidRPr="00E51638" w:rsidRDefault="00540800" w:rsidP="00A65B44">
      <w:pPr>
        <w:pStyle w:val="Prrafo"/>
        <w:numPr>
          <w:ilvl w:val="0"/>
          <w:numId w:val="6"/>
        </w:numPr>
        <w:spacing w:after="0"/>
        <w:ind w:left="0" w:hanging="567"/>
        <w:rPr>
          <w:color w:val="000000" w:themeColor="text1"/>
        </w:rPr>
      </w:pPr>
      <w:r w:rsidRPr="00E51638">
        <w:rPr>
          <w:color w:val="000000" w:themeColor="text1"/>
        </w:rPr>
        <w:lastRenderedPageBreak/>
        <w:t xml:space="preserve">En la </w:t>
      </w:r>
      <w:r w:rsidRPr="00E51638">
        <w:rPr>
          <w:i/>
          <w:iCs/>
          <w:color w:val="000000" w:themeColor="text1"/>
        </w:rPr>
        <w:t>controversia constitucional 140</w:t>
      </w:r>
      <w:r w:rsidR="00176FBC" w:rsidRPr="00E51638">
        <w:rPr>
          <w:i/>
          <w:iCs/>
          <w:color w:val="000000" w:themeColor="text1"/>
        </w:rPr>
        <w:t>/2006</w:t>
      </w:r>
      <w:r w:rsidR="00176FBC" w:rsidRPr="00E51638">
        <w:rPr>
          <w:rStyle w:val="Refdenotaalpie"/>
          <w:color w:val="000000" w:themeColor="text1"/>
        </w:rPr>
        <w:footnoteReference w:id="66"/>
      </w:r>
      <w:r w:rsidRPr="00E51638">
        <w:rPr>
          <w:color w:val="000000" w:themeColor="text1"/>
        </w:rPr>
        <w:t>, la</w:t>
      </w:r>
      <w:r w:rsidR="00176FBC" w:rsidRPr="00E51638">
        <w:rPr>
          <w:color w:val="000000" w:themeColor="text1"/>
        </w:rPr>
        <w:t xml:space="preserve"> </w:t>
      </w:r>
      <w:r w:rsidR="00392591" w:rsidRPr="00E51638">
        <w:rPr>
          <w:color w:val="000000" w:themeColor="text1"/>
        </w:rPr>
        <w:t xml:space="preserve">Primera </w:t>
      </w:r>
      <w:r w:rsidR="00176FBC" w:rsidRPr="00E51638">
        <w:rPr>
          <w:color w:val="000000" w:themeColor="text1"/>
        </w:rPr>
        <w:t xml:space="preserve">Sala de este Alto Tribunal </w:t>
      </w:r>
      <w:r w:rsidR="009A5CF1" w:rsidRPr="00E51638">
        <w:rPr>
          <w:color w:val="000000" w:themeColor="text1"/>
        </w:rPr>
        <w:t>declaró el sobreseimiento en la controversia promovida por el Ejecutivo del Estado de Oaxaca en contra de la proposición con punto de acuerdo de la Cámara de Diputados del Congreso de la Unión por la que exhortó al Gobernador de Oaxaca a que solicitara licencia o renunciara a su cargo.</w:t>
      </w:r>
    </w:p>
    <w:p w14:paraId="76E9A1B1" w14:textId="1FA46AEF" w:rsidR="009A5CF1" w:rsidRPr="00E51638" w:rsidRDefault="009A5CF1" w:rsidP="00A65B44">
      <w:pPr>
        <w:pStyle w:val="Prrafo"/>
        <w:numPr>
          <w:ilvl w:val="0"/>
          <w:numId w:val="6"/>
        </w:numPr>
        <w:spacing w:after="0"/>
        <w:ind w:left="0" w:hanging="567"/>
        <w:rPr>
          <w:color w:val="000000" w:themeColor="text1"/>
        </w:rPr>
      </w:pPr>
      <w:r w:rsidRPr="00E51638">
        <w:rPr>
          <w:color w:val="000000" w:themeColor="text1"/>
        </w:rPr>
        <w:t xml:space="preserve">En este caso, la Primera Sala sostuvo que el acto impugnado no podía ser sometido a control constitucional porque </w:t>
      </w:r>
      <w:r w:rsidR="00B878E8" w:rsidRPr="00E51638">
        <w:rPr>
          <w:color w:val="000000" w:themeColor="text1"/>
        </w:rPr>
        <w:t>los puntos de acuerdo (parlamentarios) constituyen, en principio, posicionamientos políticos que emiten las Cámaras del Congreso de la Unión en torno a un determinado asunto</w:t>
      </w:r>
      <w:r w:rsidR="00334FF3" w:rsidRPr="00E51638">
        <w:rPr>
          <w:color w:val="000000" w:themeColor="text1"/>
        </w:rPr>
        <w:t xml:space="preserve"> y, en ese sentido, son una manifestación más del principio de división de poderes que busca lograr los contrapesos necesarios para permitir un equilibrio de fuerzas.</w:t>
      </w:r>
    </w:p>
    <w:p w14:paraId="01A722A1" w14:textId="3FE42A19" w:rsidR="00334FF3" w:rsidRPr="00E51638" w:rsidRDefault="00334FF3" w:rsidP="00A65B44">
      <w:pPr>
        <w:pStyle w:val="Prrafo"/>
        <w:numPr>
          <w:ilvl w:val="0"/>
          <w:numId w:val="6"/>
        </w:numPr>
        <w:spacing w:after="0"/>
        <w:ind w:left="0" w:hanging="567"/>
        <w:rPr>
          <w:color w:val="000000" w:themeColor="text1"/>
        </w:rPr>
      </w:pPr>
      <w:r w:rsidRPr="00E51638">
        <w:rPr>
          <w:color w:val="000000" w:themeColor="text1"/>
        </w:rPr>
        <w:t>Para llegar a esa conclusión, la Primera Sala delineó un</w:t>
      </w:r>
      <w:r w:rsidR="0011193C" w:rsidRPr="00E51638">
        <w:rPr>
          <w:color w:val="000000" w:themeColor="text1"/>
        </w:rPr>
        <w:t>a metodología que pasaba por</w:t>
      </w:r>
      <w:r w:rsidRPr="00E51638">
        <w:rPr>
          <w:color w:val="000000" w:themeColor="text1"/>
        </w:rPr>
        <w:t xml:space="preserve"> determinar si la materia de análisis involucraba una cuestión meramente política —que haría improcedente la controversia constitucional— o si se trataba de</w:t>
      </w:r>
      <w:r w:rsidR="00A260FC" w:rsidRPr="00E51638">
        <w:rPr>
          <w:color w:val="000000" w:themeColor="text1"/>
        </w:rPr>
        <w:t xml:space="preserve"> un tema susceptible de tutela en sede jurisdiccional.</w:t>
      </w:r>
    </w:p>
    <w:p w14:paraId="63742C09" w14:textId="2F2FC8F1" w:rsidR="00A260FC" w:rsidRPr="00E51638" w:rsidRDefault="00A260FC" w:rsidP="00A65B44">
      <w:pPr>
        <w:pStyle w:val="Prrafo"/>
        <w:numPr>
          <w:ilvl w:val="0"/>
          <w:numId w:val="6"/>
        </w:numPr>
        <w:spacing w:after="0"/>
        <w:ind w:left="0" w:hanging="567"/>
        <w:rPr>
          <w:color w:val="000000" w:themeColor="text1"/>
        </w:rPr>
      </w:pPr>
      <w:r w:rsidRPr="00E51638">
        <w:rPr>
          <w:color w:val="000000" w:themeColor="text1"/>
        </w:rPr>
        <w:t xml:space="preserve">Asimismo, reiteró que los casos que involucran una cuestión eminentemente política escapan al control jurisdiccional y, </w:t>
      </w:r>
      <w:r w:rsidR="0011193C" w:rsidRPr="00E51638">
        <w:rPr>
          <w:color w:val="000000" w:themeColor="text1"/>
        </w:rPr>
        <w:t xml:space="preserve">el </w:t>
      </w:r>
      <w:r w:rsidRPr="00E51638">
        <w:rPr>
          <w:color w:val="000000" w:themeColor="text1"/>
        </w:rPr>
        <w:t>análisis de clasificación como político o no, debe hacerse en forma casuística dependien</w:t>
      </w:r>
      <w:r w:rsidR="00547750">
        <w:rPr>
          <w:color w:val="000000" w:themeColor="text1"/>
        </w:rPr>
        <w:t>d</w:t>
      </w:r>
      <w:r w:rsidRPr="00E51638">
        <w:rPr>
          <w:color w:val="000000" w:themeColor="text1"/>
        </w:rPr>
        <w:t>o de las particularidades de cada ordenamiento jurídico.</w:t>
      </w:r>
    </w:p>
    <w:p w14:paraId="55B5D455" w14:textId="3BFD75A1" w:rsidR="00A260FC" w:rsidRPr="00E51638" w:rsidRDefault="00A260FC" w:rsidP="00A65B44">
      <w:pPr>
        <w:pStyle w:val="Prrafo"/>
        <w:numPr>
          <w:ilvl w:val="0"/>
          <w:numId w:val="6"/>
        </w:numPr>
        <w:spacing w:after="0"/>
        <w:ind w:left="0" w:hanging="567"/>
        <w:rPr>
          <w:color w:val="000000" w:themeColor="text1"/>
        </w:rPr>
      </w:pPr>
      <w:r w:rsidRPr="00E51638">
        <w:rPr>
          <w:color w:val="000000" w:themeColor="text1"/>
        </w:rPr>
        <w:t>En este caso, la Primera Sala declaró que la proposición con punto de acuerdo reviste un carácter esencialmente político, pues constituye un pronunciamiento de una de las Cámaras del Congreso de la Unión, en relación con la situación social en el Estado de Oaxaca, que llevó a la Cámara de Diputados a exhortar al Gobernador a dejar el cargo</w:t>
      </w:r>
      <w:r w:rsidR="00D17180" w:rsidRPr="00E51638">
        <w:rPr>
          <w:color w:val="000000" w:themeColor="text1"/>
        </w:rPr>
        <w:t xml:space="preserve">. </w:t>
      </w:r>
      <w:r w:rsidRPr="00E51638">
        <w:rPr>
          <w:color w:val="000000" w:themeColor="text1"/>
        </w:rPr>
        <w:t xml:space="preserve">Esta situación, a juicio de la Primera Sala, es una </w:t>
      </w:r>
      <w:r w:rsidRPr="00E51638">
        <w:rPr>
          <w:i/>
          <w:iCs/>
          <w:color w:val="000000" w:themeColor="text1"/>
        </w:rPr>
        <w:t>cuestión política no judicializable</w:t>
      </w:r>
      <w:r w:rsidRPr="00E51638">
        <w:rPr>
          <w:color w:val="000000" w:themeColor="text1"/>
        </w:rPr>
        <w:t>.</w:t>
      </w:r>
    </w:p>
    <w:p w14:paraId="78C572BA" w14:textId="75B61D56" w:rsidR="00A260FC" w:rsidRPr="00E51638" w:rsidRDefault="00A260FC" w:rsidP="00A65B44">
      <w:pPr>
        <w:pStyle w:val="Prrafo"/>
        <w:numPr>
          <w:ilvl w:val="0"/>
          <w:numId w:val="6"/>
        </w:numPr>
        <w:spacing w:after="0"/>
        <w:ind w:left="0" w:hanging="567"/>
        <w:rPr>
          <w:color w:val="000000" w:themeColor="text1"/>
        </w:rPr>
      </w:pPr>
      <w:r w:rsidRPr="00E51638">
        <w:rPr>
          <w:color w:val="000000" w:themeColor="text1"/>
        </w:rPr>
        <w:lastRenderedPageBreak/>
        <w:t xml:space="preserve">No obstante, </w:t>
      </w:r>
      <w:r w:rsidR="0011193C" w:rsidRPr="00E51638">
        <w:rPr>
          <w:color w:val="000000" w:themeColor="text1"/>
        </w:rPr>
        <w:t>también</w:t>
      </w:r>
      <w:r w:rsidRPr="00E51638">
        <w:rPr>
          <w:color w:val="000000" w:themeColor="text1"/>
        </w:rPr>
        <w:t xml:space="preserve"> señaló que </w:t>
      </w:r>
      <w:r w:rsidRPr="00E51638">
        <w:rPr>
          <w:b/>
          <w:bCs/>
          <w:color w:val="000000" w:themeColor="text1"/>
          <w:u w:val="single"/>
        </w:rPr>
        <w:t xml:space="preserve">es el carácter puramente político del acto que se combate, lo que permite sostener que </w:t>
      </w:r>
      <w:r w:rsidR="00641CFC" w:rsidRPr="00E51638">
        <w:rPr>
          <w:b/>
          <w:bCs/>
          <w:color w:val="000000" w:themeColor="text1"/>
          <w:u w:val="single"/>
        </w:rPr>
        <w:t>no puede ser materia de análisis en la controversia constitucional</w:t>
      </w:r>
      <w:r w:rsidR="00D17180" w:rsidRPr="00E51638">
        <w:rPr>
          <w:color w:val="000000" w:themeColor="text1"/>
        </w:rPr>
        <w:t xml:space="preserve">. </w:t>
      </w:r>
      <w:r w:rsidR="00641CFC" w:rsidRPr="00E51638">
        <w:rPr>
          <w:color w:val="000000" w:themeColor="text1"/>
        </w:rPr>
        <w:t xml:space="preserve">Sin embargo, puede extraerse de esta doctrina, que </w:t>
      </w:r>
      <w:r w:rsidR="00641CFC" w:rsidRPr="00E51638">
        <w:rPr>
          <w:b/>
          <w:bCs/>
          <w:color w:val="000000" w:themeColor="text1"/>
          <w:u w:val="single"/>
        </w:rPr>
        <w:t xml:space="preserve">no existe un impedimento constitucional para tutelar en sede judicial actos intraparlamentarios, </w:t>
      </w:r>
      <w:r w:rsidR="0011193C" w:rsidRPr="00E51638">
        <w:rPr>
          <w:b/>
          <w:bCs/>
          <w:color w:val="000000" w:themeColor="text1"/>
          <w:u w:val="single"/>
        </w:rPr>
        <w:t>pues l</w:t>
      </w:r>
      <w:r w:rsidR="00641CFC" w:rsidRPr="00E51638">
        <w:rPr>
          <w:b/>
          <w:bCs/>
          <w:color w:val="000000" w:themeColor="text1"/>
          <w:u w:val="single"/>
        </w:rPr>
        <w:t>o que no permitió la Suprema Corte en ese caso, es que se haga control jurisdiccional de actos eminentemente políticos</w:t>
      </w:r>
      <w:r w:rsidR="00641CFC" w:rsidRPr="00E51638">
        <w:rPr>
          <w:color w:val="000000" w:themeColor="text1"/>
        </w:rPr>
        <w:t>.</w:t>
      </w:r>
    </w:p>
    <w:p w14:paraId="554F6452" w14:textId="298A0640" w:rsidR="002E6E88" w:rsidRPr="00E51638" w:rsidRDefault="00641CFC" w:rsidP="00A65B44">
      <w:pPr>
        <w:pStyle w:val="Prrafo"/>
        <w:numPr>
          <w:ilvl w:val="0"/>
          <w:numId w:val="6"/>
        </w:numPr>
        <w:spacing w:after="0"/>
        <w:ind w:left="0" w:hanging="567"/>
        <w:rPr>
          <w:color w:val="000000" w:themeColor="text1"/>
        </w:rPr>
      </w:pPr>
      <w:r w:rsidRPr="00E51638">
        <w:rPr>
          <w:color w:val="000000" w:themeColor="text1"/>
        </w:rPr>
        <w:t xml:space="preserve">Más tarde, </w:t>
      </w:r>
      <w:r w:rsidR="00676BC2" w:rsidRPr="00E51638">
        <w:rPr>
          <w:color w:val="000000" w:themeColor="text1"/>
        </w:rPr>
        <w:t xml:space="preserve">al resolver la </w:t>
      </w:r>
      <w:r w:rsidR="00676BC2" w:rsidRPr="00E51638">
        <w:rPr>
          <w:i/>
          <w:iCs/>
          <w:color w:val="000000" w:themeColor="text1"/>
        </w:rPr>
        <w:t>contradicción de tesis 105/2017</w:t>
      </w:r>
      <w:r w:rsidR="00676BC2" w:rsidRPr="00E51638">
        <w:rPr>
          <w:rStyle w:val="Refdenotaalpie"/>
          <w:i/>
          <w:iCs/>
          <w:color w:val="000000" w:themeColor="text1"/>
        </w:rPr>
        <w:footnoteReference w:id="67"/>
      </w:r>
      <w:r w:rsidR="00676BC2" w:rsidRPr="00E51638">
        <w:rPr>
          <w:i/>
          <w:iCs/>
          <w:color w:val="000000" w:themeColor="text1"/>
        </w:rPr>
        <w:t xml:space="preserve">, </w:t>
      </w:r>
      <w:r w:rsidR="00676BC2" w:rsidRPr="00E51638">
        <w:rPr>
          <w:color w:val="000000" w:themeColor="text1"/>
        </w:rPr>
        <w:t xml:space="preserve">la Segunda Sala </w:t>
      </w:r>
      <w:r w:rsidR="002E6E88" w:rsidRPr="00E51638">
        <w:rPr>
          <w:color w:val="000000" w:themeColor="text1"/>
        </w:rPr>
        <w:t>analizó cuál era el criterio que debía prevalecer con relación a determinar si los particulares están en aptitud de combatir en juicio de amparo, leyes o decretos locales, argumentando que presentan vicios u omisiones en el procedimiento legislativo</w:t>
      </w:r>
      <w:r w:rsidR="0011193C" w:rsidRPr="00E51638">
        <w:rPr>
          <w:color w:val="000000" w:themeColor="text1"/>
        </w:rPr>
        <w:t>.</w:t>
      </w:r>
    </w:p>
    <w:p w14:paraId="75E29806" w14:textId="00D45F3F" w:rsidR="00955FD2" w:rsidRPr="00E51638" w:rsidRDefault="002E6E88" w:rsidP="00A65B44">
      <w:pPr>
        <w:pStyle w:val="Prrafo"/>
        <w:numPr>
          <w:ilvl w:val="0"/>
          <w:numId w:val="6"/>
        </w:numPr>
        <w:spacing w:after="0"/>
        <w:ind w:left="0" w:hanging="567"/>
        <w:rPr>
          <w:color w:val="000000" w:themeColor="text1"/>
        </w:rPr>
      </w:pPr>
      <w:r w:rsidRPr="00E51638">
        <w:rPr>
          <w:color w:val="000000" w:themeColor="text1"/>
        </w:rPr>
        <w:t xml:space="preserve">En esta ocasión, la Segunda Sala recordó que el juicio de amparo está reservado para quienes resienten un perjuicio jurídicamente relevante con motivo de un acto de autoridad, de manera que cuando se impugna una norma o acto es necesario que los vicios de constitucionalidad argumentados </w:t>
      </w:r>
      <w:r w:rsidR="00D50D32" w:rsidRPr="00E51638">
        <w:rPr>
          <w:color w:val="000000" w:themeColor="text1"/>
        </w:rPr>
        <w:t>estén</w:t>
      </w:r>
      <w:r w:rsidRPr="00E51638">
        <w:rPr>
          <w:color w:val="000000" w:themeColor="text1"/>
        </w:rPr>
        <w:t xml:space="preserve"> vinculados con un derecho fundamental que pudiera ser transgredido (del que sea titular el amparista).</w:t>
      </w:r>
    </w:p>
    <w:p w14:paraId="3DF7AACF" w14:textId="60F017E5" w:rsidR="004F4F55" w:rsidRPr="00E51638" w:rsidRDefault="00955FD2" w:rsidP="00563F9F">
      <w:pPr>
        <w:pStyle w:val="Prrafo"/>
        <w:numPr>
          <w:ilvl w:val="0"/>
          <w:numId w:val="6"/>
        </w:numPr>
        <w:spacing w:after="0"/>
        <w:ind w:left="0" w:hanging="567"/>
        <w:rPr>
          <w:color w:val="000000" w:themeColor="text1"/>
        </w:rPr>
      </w:pPr>
      <w:r w:rsidRPr="00E51638">
        <w:rPr>
          <w:color w:val="000000" w:themeColor="text1"/>
        </w:rPr>
        <w:t>Dicho lo anterior, la Segunda Sala consideró que es factible impugnar una ley o decreto por vicios en el procedimiento legislativo</w:t>
      </w:r>
      <w:r w:rsidR="0011193C" w:rsidRPr="00E51638">
        <w:rPr>
          <w:color w:val="000000" w:themeColor="text1"/>
        </w:rPr>
        <w:t>. P</w:t>
      </w:r>
      <w:r w:rsidRPr="00E51638">
        <w:rPr>
          <w:color w:val="000000" w:themeColor="text1"/>
        </w:rPr>
        <w:t xml:space="preserve">ero por virtud del principio de instancia de parte agraviada, </w:t>
      </w:r>
      <w:r w:rsidRPr="00E51638">
        <w:rPr>
          <w:color w:val="000000" w:themeColor="text1"/>
          <w:u w:val="single"/>
        </w:rPr>
        <w:t>los vicios que se expongan contra ese procedimiento de creación legislativa deben repercutir en un derecho que tutele al amparista o que tenga alguna repercusión en su esfera de derechos</w:t>
      </w:r>
      <w:r w:rsidRPr="00E51638">
        <w:rPr>
          <w:color w:val="000000" w:themeColor="text1"/>
        </w:rPr>
        <w:t xml:space="preserve"> –directa o indirectamente–, toda vez que sólo así el estudio respectivo estará justificado, pues, en el caso de ser fundado, podría considerarse una transgresión de derechos fundamentales del quejoso susceptible de restituirse.</w:t>
      </w:r>
    </w:p>
    <w:p w14:paraId="54CDE6E1" w14:textId="7D670298" w:rsidR="00955FD2" w:rsidRPr="00E51638" w:rsidRDefault="00D50D32" w:rsidP="00563F9F">
      <w:pPr>
        <w:pStyle w:val="Prrafo"/>
        <w:numPr>
          <w:ilvl w:val="0"/>
          <w:numId w:val="6"/>
        </w:numPr>
        <w:spacing w:after="0"/>
        <w:ind w:left="0" w:hanging="567"/>
        <w:rPr>
          <w:color w:val="000000" w:themeColor="text1"/>
        </w:rPr>
      </w:pPr>
      <w:r w:rsidRPr="00E51638">
        <w:rPr>
          <w:color w:val="000000" w:themeColor="text1"/>
        </w:rPr>
        <w:lastRenderedPageBreak/>
        <w:t xml:space="preserve">En este sentido, se concluyó que </w:t>
      </w:r>
      <w:r w:rsidRPr="00E51638">
        <w:rPr>
          <w:b/>
          <w:bCs/>
          <w:color w:val="000000" w:themeColor="text1"/>
          <w:u w:val="single"/>
        </w:rPr>
        <w:t>las violaciones en el procedimiento legislativo</w:t>
      </w:r>
      <w:r w:rsidRPr="00E51638">
        <w:rPr>
          <w:color w:val="000000" w:themeColor="text1"/>
        </w:rPr>
        <w:t xml:space="preserve"> (específicamente sobre el procedimiento de obvia y urgente resolución) </w:t>
      </w:r>
      <w:r w:rsidRPr="00E51638">
        <w:rPr>
          <w:b/>
          <w:bCs/>
          <w:color w:val="000000" w:themeColor="text1"/>
          <w:u w:val="single"/>
        </w:rPr>
        <w:t>sólo pueden impugnarse desde la consideración del principio de deliberación parlamentaria</w:t>
      </w:r>
      <w:r w:rsidRPr="00E51638">
        <w:rPr>
          <w:color w:val="000000" w:themeColor="text1"/>
        </w:rPr>
        <w:t xml:space="preserve">, conforme al cual se </w:t>
      </w:r>
      <w:r w:rsidR="005E11D3" w:rsidRPr="00E51638">
        <w:rPr>
          <w:color w:val="000000" w:themeColor="text1"/>
        </w:rPr>
        <w:t xml:space="preserve">protege </w:t>
      </w:r>
      <w:r w:rsidRPr="00E51638">
        <w:rPr>
          <w:color w:val="000000" w:themeColor="text1"/>
        </w:rPr>
        <w:t>el derecho de participación de las fuerzas políticas con representación en condiciones de igualdad y libertad.</w:t>
      </w:r>
    </w:p>
    <w:p w14:paraId="37D9232B" w14:textId="73DB6E29" w:rsidR="0028442A" w:rsidRPr="00E51638" w:rsidRDefault="0028442A" w:rsidP="00563F9F">
      <w:pPr>
        <w:pStyle w:val="Prrafo"/>
        <w:numPr>
          <w:ilvl w:val="0"/>
          <w:numId w:val="6"/>
        </w:numPr>
        <w:spacing w:after="0"/>
        <w:ind w:left="0" w:hanging="567"/>
        <w:rPr>
          <w:color w:val="000000" w:themeColor="text1"/>
        </w:rPr>
      </w:pPr>
      <w:r w:rsidRPr="00E51638">
        <w:rPr>
          <w:color w:val="000000" w:themeColor="text1"/>
        </w:rPr>
        <w:t>También se argumentó que el procedimiento legislativo de urgente y obvia resolución tiene una naturaleza esencialmente política que se vincula con los principios propios de la dimensión deliberativa de la democracia representativa, por lo que debe resguardar la libertad de expresión de los parlamentarios y su derecho al voto, pero sobre todo los derechos de las minorías legislativas, de modo que nadie sea excluido del proceso deliberativo.</w:t>
      </w:r>
    </w:p>
    <w:p w14:paraId="58578361" w14:textId="17431F60" w:rsidR="0028442A" w:rsidRPr="00E51638" w:rsidRDefault="0028442A" w:rsidP="00563F9F">
      <w:pPr>
        <w:pStyle w:val="Prrafo"/>
        <w:numPr>
          <w:ilvl w:val="0"/>
          <w:numId w:val="6"/>
        </w:numPr>
        <w:spacing w:after="0"/>
        <w:ind w:left="0" w:hanging="567"/>
        <w:rPr>
          <w:color w:val="000000" w:themeColor="text1"/>
        </w:rPr>
      </w:pPr>
      <w:r w:rsidRPr="00E51638">
        <w:rPr>
          <w:color w:val="000000" w:themeColor="text1"/>
        </w:rPr>
        <w:t xml:space="preserve">En virtud de lo anterior, la Segunda Sala de esta Suprema Corte de Justicia de la Nación consideró que </w:t>
      </w:r>
      <w:r w:rsidRPr="00E51638">
        <w:rPr>
          <w:b/>
          <w:bCs/>
          <w:color w:val="000000" w:themeColor="text1"/>
        </w:rPr>
        <w:t>las irregularidades que eventualmente pudieran actualizarse en ese procedimiento legislativo sólo pueden afectar al principio de la democracia deliberativa, el cual como regla general de ese precedente, no tutela a los particulares sino que se dirige a los parlamentarios</w:t>
      </w:r>
      <w:r w:rsidR="00DF49A5" w:rsidRPr="00E51638">
        <w:rPr>
          <w:rStyle w:val="Refdenotaalpie"/>
          <w:color w:val="000000" w:themeColor="text1"/>
        </w:rPr>
        <w:footnoteReference w:id="68"/>
      </w:r>
      <w:r w:rsidRPr="00E51638">
        <w:rPr>
          <w:color w:val="000000" w:themeColor="text1"/>
        </w:rPr>
        <w:t>.</w:t>
      </w:r>
    </w:p>
    <w:p w14:paraId="6C7EB05B" w14:textId="4BC2D893" w:rsidR="00EB0DAC" w:rsidRPr="00E51638" w:rsidRDefault="0028442A" w:rsidP="00563F9F">
      <w:pPr>
        <w:pStyle w:val="Prrafo"/>
        <w:numPr>
          <w:ilvl w:val="0"/>
          <w:numId w:val="6"/>
        </w:numPr>
        <w:spacing w:after="0"/>
        <w:ind w:left="0" w:hanging="567"/>
        <w:rPr>
          <w:i/>
          <w:iCs/>
          <w:color w:val="000000" w:themeColor="text1"/>
        </w:rPr>
      </w:pPr>
      <w:r w:rsidRPr="00E51638">
        <w:rPr>
          <w:color w:val="000000" w:themeColor="text1"/>
        </w:rPr>
        <w:lastRenderedPageBreak/>
        <w:t>Dicho de otro modo, el incumplimiento de las formalidades del procedimiento legislativo sólo puede generar afectación a los legisladores que deben intervenir en el procedimiento, pues son ellos quienes tienen la oportunidad de participar en la discusión de manera oportuna, informada y libre</w:t>
      </w:r>
      <w:r w:rsidR="00D17180" w:rsidRPr="00E51638">
        <w:rPr>
          <w:color w:val="000000" w:themeColor="text1"/>
        </w:rPr>
        <w:t xml:space="preserve">. </w:t>
      </w:r>
    </w:p>
    <w:p w14:paraId="662F0718" w14:textId="6C58C5F5" w:rsidR="00EB0DAC" w:rsidRPr="00E51638" w:rsidRDefault="0028442A" w:rsidP="004F4F55">
      <w:pPr>
        <w:pStyle w:val="Prrafo"/>
        <w:numPr>
          <w:ilvl w:val="0"/>
          <w:numId w:val="6"/>
        </w:numPr>
        <w:spacing w:after="0"/>
        <w:ind w:left="0" w:hanging="567"/>
        <w:rPr>
          <w:i/>
          <w:iCs/>
          <w:color w:val="000000" w:themeColor="text1"/>
        </w:rPr>
      </w:pPr>
      <w:r w:rsidRPr="00E51638">
        <w:rPr>
          <w:color w:val="000000" w:themeColor="text1"/>
        </w:rPr>
        <w:t>Por ese motivo, la Segunda Sala dijo que “</w:t>
      </w:r>
      <w:r w:rsidRPr="00E51638">
        <w:rPr>
          <w:b/>
          <w:bCs/>
          <w:i/>
          <w:iCs/>
          <w:color w:val="000000" w:themeColor="text1"/>
          <w:u w:val="single"/>
        </w:rPr>
        <w:t>son ellos</w:t>
      </w:r>
      <w:r w:rsidRPr="00E51638">
        <w:rPr>
          <w:b/>
          <w:bCs/>
          <w:color w:val="000000" w:themeColor="text1"/>
          <w:u w:val="single"/>
        </w:rPr>
        <w:t xml:space="preserve"> [los parlamentarios] </w:t>
      </w:r>
      <w:r w:rsidRPr="00E51638">
        <w:rPr>
          <w:b/>
          <w:bCs/>
          <w:i/>
          <w:iCs/>
          <w:color w:val="000000" w:themeColor="text1"/>
          <w:u w:val="single"/>
        </w:rPr>
        <w:t>los que, en su caso, podrían oponer una defensa al respecto</w:t>
      </w:r>
      <w:r w:rsidRPr="00E51638">
        <w:rPr>
          <w:i/>
          <w:iCs/>
          <w:color w:val="000000" w:themeColor="text1"/>
        </w:rPr>
        <w:t xml:space="preserve">, esto es, cuando consideren que la deliberación, en la forma </w:t>
      </w:r>
      <w:r w:rsidR="00EB0DAC" w:rsidRPr="00E51638">
        <w:rPr>
          <w:i/>
          <w:iCs/>
          <w:color w:val="000000" w:themeColor="text1"/>
        </w:rPr>
        <w:t xml:space="preserve">en que se realizó —bajo la dispensa de lecturas o de turno a comisiones para dictamen—, no se les permitió participar oportuna, informada y libremente en la discusión de la ley o decreto de que se trate y, por ende, </w:t>
      </w:r>
      <w:r w:rsidR="00EB0DAC" w:rsidRPr="00E51638">
        <w:rPr>
          <w:b/>
          <w:bCs/>
          <w:i/>
          <w:iCs/>
          <w:color w:val="000000" w:themeColor="text1"/>
          <w:u w:val="single"/>
        </w:rPr>
        <w:t>la aprobación respectiva resulta viciada (desde luego, a través del procedimiento constitucional que corresponda</w:t>
      </w:r>
      <w:r w:rsidR="00EB0DAC" w:rsidRPr="00E51638">
        <w:rPr>
          <w:b/>
          <w:bCs/>
          <w:i/>
          <w:iCs/>
          <w:color w:val="000000" w:themeColor="text1"/>
        </w:rPr>
        <w:t>)</w:t>
      </w:r>
      <w:r w:rsidR="00EB0DAC" w:rsidRPr="00E51638">
        <w:rPr>
          <w:i/>
          <w:iCs/>
          <w:color w:val="000000" w:themeColor="text1"/>
        </w:rPr>
        <w:t>”.</w:t>
      </w:r>
    </w:p>
    <w:p w14:paraId="24AF2EA8" w14:textId="36453156" w:rsidR="00B10EBC" w:rsidRPr="00E51638" w:rsidRDefault="00EA2A1E" w:rsidP="004F4F55">
      <w:pPr>
        <w:pStyle w:val="Prrafo"/>
        <w:numPr>
          <w:ilvl w:val="0"/>
          <w:numId w:val="6"/>
        </w:numPr>
        <w:spacing w:after="0"/>
        <w:ind w:left="0" w:hanging="567"/>
        <w:rPr>
          <w:i/>
          <w:iCs/>
          <w:color w:val="000000" w:themeColor="text1"/>
        </w:rPr>
      </w:pPr>
      <w:r w:rsidRPr="00E51638">
        <w:rPr>
          <w:color w:val="000000" w:themeColor="text1"/>
        </w:rPr>
        <w:t>E</w:t>
      </w:r>
      <w:r w:rsidR="00B10EBC" w:rsidRPr="00E51638">
        <w:rPr>
          <w:color w:val="000000" w:themeColor="text1"/>
        </w:rPr>
        <w:t>n es</w:t>
      </w:r>
      <w:r w:rsidRPr="00E51638">
        <w:rPr>
          <w:color w:val="000000" w:themeColor="text1"/>
        </w:rPr>
        <w:t>t</w:t>
      </w:r>
      <w:r w:rsidR="00B10EBC" w:rsidRPr="00E51638">
        <w:rPr>
          <w:color w:val="000000" w:themeColor="text1"/>
        </w:rPr>
        <w:t xml:space="preserve">e caso la Segunda Sala consideró que los aducidos vicios procedimentales no podían afectar a los particulares, sino únicamente a los </w:t>
      </w:r>
      <w:r w:rsidRPr="00E51638">
        <w:rPr>
          <w:color w:val="000000" w:themeColor="text1"/>
        </w:rPr>
        <w:t>parlamentarios</w:t>
      </w:r>
      <w:r w:rsidR="00B10EBC" w:rsidRPr="00E51638">
        <w:rPr>
          <w:color w:val="000000" w:themeColor="text1"/>
        </w:rPr>
        <w:t xml:space="preserve">, </w:t>
      </w:r>
      <w:r w:rsidR="00DF49A5" w:rsidRPr="00E51638">
        <w:rPr>
          <w:color w:val="000000" w:themeColor="text1"/>
        </w:rPr>
        <w:t>de manera que las eventuales irregularidades no tienen un impacto en el debido proceso y en el principio de legalidad y, por tanto, no son oponibles en los conceptos de violación planteados en el juicio de amparo.</w:t>
      </w:r>
    </w:p>
    <w:p w14:paraId="195B9F0B" w14:textId="36779539" w:rsidR="00982E8B" w:rsidRPr="00E51638" w:rsidRDefault="00982E8B" w:rsidP="004F4F55">
      <w:pPr>
        <w:pStyle w:val="Prrafo"/>
        <w:numPr>
          <w:ilvl w:val="0"/>
          <w:numId w:val="6"/>
        </w:numPr>
        <w:spacing w:after="0"/>
        <w:ind w:left="0" w:hanging="567"/>
        <w:rPr>
          <w:i/>
          <w:iCs/>
          <w:color w:val="000000" w:themeColor="text1"/>
        </w:rPr>
      </w:pPr>
      <w:r w:rsidRPr="00E51638">
        <w:rPr>
          <w:color w:val="000000" w:themeColor="text1"/>
        </w:rPr>
        <w:t>Como se puede apreciar, en esta contradicción de tesis la Segunda Sala consideró que los vicios en el procedimiento legislativo son impugnables únicamente cuando se acredite un perjuicio directo en los derechos fundamentales de los que sean titulares los quejosos, lo que únicamente se podría actualizar —según esta sentencia— en perjuicio de los parlamentarios.</w:t>
      </w:r>
    </w:p>
    <w:p w14:paraId="24A4840D" w14:textId="5F98ADD1" w:rsidR="00982E8B" w:rsidRPr="00E51638" w:rsidRDefault="00982E8B" w:rsidP="004F4F55">
      <w:pPr>
        <w:pStyle w:val="Prrafo"/>
        <w:numPr>
          <w:ilvl w:val="0"/>
          <w:numId w:val="6"/>
        </w:numPr>
        <w:spacing w:after="0"/>
        <w:ind w:left="0" w:hanging="567"/>
        <w:rPr>
          <w:i/>
          <w:iCs/>
          <w:color w:val="000000" w:themeColor="text1"/>
        </w:rPr>
      </w:pPr>
      <w:r w:rsidRPr="00E51638">
        <w:rPr>
          <w:color w:val="000000" w:themeColor="text1"/>
        </w:rPr>
        <w:t xml:space="preserve">Lo relevante de este criterio es que si bien no se permite que los particulares hagan valer —por regla general— violaciones procedimentales, </w:t>
      </w:r>
      <w:r w:rsidRPr="00E51638">
        <w:rPr>
          <w:b/>
          <w:bCs/>
          <w:color w:val="000000" w:themeColor="text1"/>
          <w:u w:val="single"/>
        </w:rPr>
        <w:t>esta sentencia abre la puerta para permitir el control jurisdiccional de los actos intraparlamentarios cuando estos lesionan los derechos fundamentales de los parlamentarios</w:t>
      </w:r>
      <w:r w:rsidR="00C12988" w:rsidRPr="00E51638">
        <w:rPr>
          <w:b/>
          <w:bCs/>
          <w:color w:val="000000" w:themeColor="text1"/>
          <w:u w:val="single"/>
        </w:rPr>
        <w:t>, sobre todo tratándose de los derechos de participación política y de acceso y desempeño del cargo</w:t>
      </w:r>
      <w:r w:rsidR="00C12988" w:rsidRPr="00E51638">
        <w:rPr>
          <w:color w:val="000000" w:themeColor="text1"/>
        </w:rPr>
        <w:t>.</w:t>
      </w:r>
    </w:p>
    <w:p w14:paraId="7F510B5B" w14:textId="17828896" w:rsidR="0043757C" w:rsidRPr="00E51638" w:rsidRDefault="0043757C" w:rsidP="004F4F55">
      <w:pPr>
        <w:pStyle w:val="Prrafo"/>
        <w:numPr>
          <w:ilvl w:val="0"/>
          <w:numId w:val="6"/>
        </w:numPr>
        <w:spacing w:after="0"/>
        <w:ind w:left="0" w:hanging="567"/>
        <w:rPr>
          <w:i/>
          <w:iCs/>
          <w:color w:val="000000" w:themeColor="text1"/>
        </w:rPr>
      </w:pPr>
      <w:r w:rsidRPr="00E51638">
        <w:rPr>
          <w:color w:val="000000" w:themeColor="text1"/>
        </w:rPr>
        <w:lastRenderedPageBreak/>
        <w:t xml:space="preserve">Siguiendo esa línea jurisprudencial, la Segunda Sala resolvió el </w:t>
      </w:r>
      <w:r w:rsidRPr="00E51638">
        <w:rPr>
          <w:i/>
          <w:iCs/>
          <w:color w:val="000000" w:themeColor="text1"/>
        </w:rPr>
        <w:t>amparo en revisión 1344/2017</w:t>
      </w:r>
      <w:r w:rsidR="00EA2A1E" w:rsidRPr="00E51638">
        <w:rPr>
          <w:rStyle w:val="Refdenotaalpie"/>
          <w:i/>
          <w:iCs/>
          <w:color w:val="000000" w:themeColor="text1"/>
        </w:rPr>
        <w:footnoteReference w:id="69"/>
      </w:r>
      <w:r w:rsidRPr="00E51638">
        <w:rPr>
          <w:color w:val="000000" w:themeColor="text1"/>
        </w:rPr>
        <w:t xml:space="preserve"> promovido por diversos senadores del Congreso de la Unión, en contra del Acuerdo de la Mesa Directiva del Senado, </w:t>
      </w:r>
      <w:r w:rsidR="00B7500A" w:rsidRPr="00E51638">
        <w:rPr>
          <w:color w:val="000000" w:themeColor="text1"/>
        </w:rPr>
        <w:t>por el que se denegó la petición de los senadores promoventes consistente en que se les retirara la protección constitucional inherente al cargo parlamentario (comúnmente conocida como “</w:t>
      </w:r>
      <w:r w:rsidR="00B7500A" w:rsidRPr="00E51638">
        <w:rPr>
          <w:i/>
          <w:iCs/>
          <w:color w:val="000000" w:themeColor="text1"/>
        </w:rPr>
        <w:t>fuero</w:t>
      </w:r>
      <w:r w:rsidR="00B7500A" w:rsidRPr="00E51638">
        <w:rPr>
          <w:color w:val="000000" w:themeColor="text1"/>
        </w:rPr>
        <w:t>”).</w:t>
      </w:r>
    </w:p>
    <w:p w14:paraId="4B09AE94" w14:textId="220B8C27" w:rsidR="00B7500A" w:rsidRPr="00E51638" w:rsidRDefault="00B7500A" w:rsidP="004F4F55">
      <w:pPr>
        <w:pStyle w:val="Prrafo"/>
        <w:numPr>
          <w:ilvl w:val="0"/>
          <w:numId w:val="6"/>
        </w:numPr>
        <w:spacing w:after="0"/>
        <w:ind w:left="0" w:hanging="567"/>
        <w:rPr>
          <w:i/>
          <w:iCs/>
          <w:color w:val="000000" w:themeColor="text1"/>
        </w:rPr>
      </w:pPr>
      <w:r w:rsidRPr="00E51638">
        <w:rPr>
          <w:color w:val="000000" w:themeColor="text1"/>
        </w:rPr>
        <w:t xml:space="preserve">En este caso, tras agotarse la cadena impugnativa y llegar el expediente a la Suprema Corte de Justicia de la Nación, la Segunda Sala conoció del recurso de revisión y </w:t>
      </w:r>
      <w:r w:rsidR="00DC6785" w:rsidRPr="00E51638">
        <w:rPr>
          <w:color w:val="000000" w:themeColor="text1"/>
        </w:rPr>
        <w:t>expresó que el acto reclamado deriva de un acuerdo adoptado por la Mesa Directiva del Senado, por lo que en principio podría pensarse que se trata de un acto autónomo del Senado no susceptible de analizarse por la jurisdicción constitucional</w:t>
      </w:r>
      <w:r w:rsidR="00D17180" w:rsidRPr="00E51638">
        <w:rPr>
          <w:color w:val="000000" w:themeColor="text1"/>
        </w:rPr>
        <w:t xml:space="preserve">. </w:t>
      </w:r>
      <w:r w:rsidR="00DC6785" w:rsidRPr="00E51638">
        <w:rPr>
          <w:color w:val="000000" w:themeColor="text1"/>
        </w:rPr>
        <w:t xml:space="preserve">No obstante, </w:t>
      </w:r>
      <w:r w:rsidR="00DC6785" w:rsidRPr="00E51638">
        <w:rPr>
          <w:b/>
          <w:bCs/>
          <w:color w:val="000000" w:themeColor="text1"/>
          <w:u w:val="single"/>
        </w:rPr>
        <w:t>la Segunda Sala consideró que sí es posible realizar esa valoración constitucional</w:t>
      </w:r>
      <w:r w:rsidR="00DC6785" w:rsidRPr="00E51638">
        <w:rPr>
          <w:color w:val="000000" w:themeColor="text1"/>
        </w:rPr>
        <w:t>, ya que los agravios de los recurrentes insisten en que la respuesta de la mesa Directiva del Senado es indebida e impide que la renuncia del fuero se materialice</w:t>
      </w:r>
      <w:r w:rsidR="00B51A8F" w:rsidRPr="00E51638">
        <w:rPr>
          <w:color w:val="000000" w:themeColor="text1"/>
        </w:rPr>
        <w:t>,</w:t>
      </w:r>
      <w:r w:rsidR="00DC6785" w:rsidRPr="00E51638">
        <w:rPr>
          <w:color w:val="000000" w:themeColor="text1"/>
        </w:rPr>
        <w:t xml:space="preserve"> lo que exige un estudio más detallado sobre la naturaleza de esa protección constitucional, </w:t>
      </w:r>
      <w:r w:rsidR="00B51A8F" w:rsidRPr="00E51638">
        <w:rPr>
          <w:color w:val="000000" w:themeColor="text1"/>
        </w:rPr>
        <w:t xml:space="preserve">y </w:t>
      </w:r>
      <w:r w:rsidR="00DC6785" w:rsidRPr="00E51638">
        <w:rPr>
          <w:color w:val="000000" w:themeColor="text1"/>
        </w:rPr>
        <w:t>que corresponde al fondo del asunto.</w:t>
      </w:r>
    </w:p>
    <w:p w14:paraId="19756168" w14:textId="6B88A1B7" w:rsidR="009D4D93" w:rsidRPr="00E51638" w:rsidRDefault="00DC6785" w:rsidP="004F4F55">
      <w:pPr>
        <w:pStyle w:val="Prrafo"/>
        <w:numPr>
          <w:ilvl w:val="0"/>
          <w:numId w:val="6"/>
        </w:numPr>
        <w:spacing w:after="0"/>
        <w:ind w:left="0" w:hanging="567"/>
        <w:rPr>
          <w:i/>
          <w:iCs/>
          <w:color w:val="000000" w:themeColor="text1"/>
        </w:rPr>
      </w:pPr>
      <w:r w:rsidRPr="00E51638">
        <w:rPr>
          <w:color w:val="000000" w:themeColor="text1"/>
        </w:rPr>
        <w:t xml:space="preserve">Dicho lo anterior, la Suprema Corte </w:t>
      </w:r>
      <w:r w:rsidR="00CD3CC6" w:rsidRPr="00E51638">
        <w:rPr>
          <w:color w:val="000000" w:themeColor="text1"/>
        </w:rPr>
        <w:t xml:space="preserve">declaró infundado el recurso de revisión, al considerar que </w:t>
      </w:r>
      <w:r w:rsidR="00750318" w:rsidRPr="00E51638">
        <w:rPr>
          <w:color w:val="000000" w:themeColor="text1"/>
        </w:rPr>
        <w:t xml:space="preserve">la respuesta que dio la Mesa Directiva del Senado al escrito de los promoventes que formularon renuncia a su </w:t>
      </w:r>
      <w:r w:rsidR="00750318" w:rsidRPr="00E51638">
        <w:rPr>
          <w:i/>
          <w:iCs/>
          <w:color w:val="000000" w:themeColor="text1"/>
        </w:rPr>
        <w:t xml:space="preserve">fuero constitucional </w:t>
      </w:r>
      <w:r w:rsidR="00750318" w:rsidRPr="00E51638">
        <w:rPr>
          <w:color w:val="000000" w:themeColor="text1"/>
        </w:rPr>
        <w:t xml:space="preserve">fue congruente con el marco constitucional, legal y reglamentario del Senado, por lo que no era posible retirarles el </w:t>
      </w:r>
      <w:r w:rsidR="00750318" w:rsidRPr="00E51638">
        <w:rPr>
          <w:i/>
          <w:iCs/>
          <w:color w:val="000000" w:themeColor="text1"/>
        </w:rPr>
        <w:t>fuero</w:t>
      </w:r>
      <w:r w:rsidR="00D17180" w:rsidRPr="00E51638">
        <w:rPr>
          <w:color w:val="000000" w:themeColor="text1"/>
        </w:rPr>
        <w:t xml:space="preserve">. </w:t>
      </w:r>
      <w:r w:rsidR="009D4D93" w:rsidRPr="00E51638">
        <w:rPr>
          <w:color w:val="000000" w:themeColor="text1"/>
        </w:rPr>
        <w:t>Más aún, porque la Constitución General sólo reconoce dos maneras de cesar los efectos de esa protección: a través de la declaración de procedencia y a partir de la separación del cargo, por lo que la renuncia del “</w:t>
      </w:r>
      <w:r w:rsidR="009D4D93" w:rsidRPr="00E51638">
        <w:rPr>
          <w:i/>
          <w:iCs/>
          <w:color w:val="000000" w:themeColor="text1"/>
        </w:rPr>
        <w:t xml:space="preserve">fuero” </w:t>
      </w:r>
      <w:r w:rsidR="009D4D93" w:rsidRPr="00E51638">
        <w:rPr>
          <w:color w:val="000000" w:themeColor="text1"/>
        </w:rPr>
        <w:t>no forma parte de esos mecanismos.</w:t>
      </w:r>
    </w:p>
    <w:p w14:paraId="210D0398" w14:textId="6FA0E115" w:rsidR="00DC6785" w:rsidRPr="00E51638" w:rsidRDefault="009D4D93" w:rsidP="004F4F55">
      <w:pPr>
        <w:pStyle w:val="Prrafo"/>
        <w:numPr>
          <w:ilvl w:val="0"/>
          <w:numId w:val="6"/>
        </w:numPr>
        <w:spacing w:after="0"/>
        <w:ind w:left="0" w:hanging="567"/>
        <w:rPr>
          <w:i/>
          <w:iCs/>
          <w:color w:val="000000" w:themeColor="text1"/>
        </w:rPr>
      </w:pPr>
      <w:r w:rsidRPr="00E51638">
        <w:rPr>
          <w:color w:val="000000" w:themeColor="text1"/>
        </w:rPr>
        <w:t xml:space="preserve">En virtud de lo anterior, </w:t>
      </w:r>
      <w:r w:rsidRPr="00E51638">
        <w:rPr>
          <w:b/>
          <w:bCs/>
          <w:color w:val="000000" w:themeColor="text1"/>
          <w:u w:val="single"/>
        </w:rPr>
        <w:t xml:space="preserve">la Segunda Sala realizó un control de los actos parlamentarios de la Mesa Directiva de la Cámara de Senadores y confirmó </w:t>
      </w:r>
      <w:r w:rsidRPr="00E51638">
        <w:rPr>
          <w:b/>
          <w:bCs/>
          <w:color w:val="000000" w:themeColor="text1"/>
          <w:u w:val="single"/>
        </w:rPr>
        <w:lastRenderedPageBreak/>
        <w:t>su actuación</w:t>
      </w:r>
      <w:r w:rsidRPr="00E51638">
        <w:rPr>
          <w:color w:val="000000" w:themeColor="text1"/>
        </w:rPr>
        <w:t xml:space="preserve"> al sostener que el escrito de renuncia presentado por los recurrentes ante la Mesa Directiva no podía ser tramitado favorablemente por dicho órgano, al no existir algún mecanismo constitucional para procesar ese tipo de solicitudes.</w:t>
      </w:r>
      <w:r w:rsidRPr="00E51638">
        <w:rPr>
          <w:i/>
          <w:iCs/>
          <w:color w:val="000000" w:themeColor="text1"/>
        </w:rPr>
        <w:t xml:space="preserve"> </w:t>
      </w:r>
    </w:p>
    <w:p w14:paraId="0ED2ED58" w14:textId="02A25C5E" w:rsidR="00750318" w:rsidRPr="00E51638" w:rsidRDefault="00723553" w:rsidP="004F4F55">
      <w:pPr>
        <w:pStyle w:val="Prrafo"/>
        <w:numPr>
          <w:ilvl w:val="0"/>
          <w:numId w:val="6"/>
        </w:numPr>
        <w:spacing w:after="0"/>
        <w:ind w:left="0" w:hanging="567"/>
        <w:rPr>
          <w:i/>
          <w:iCs/>
          <w:color w:val="000000" w:themeColor="text1"/>
        </w:rPr>
      </w:pPr>
      <w:r w:rsidRPr="00E51638">
        <w:rPr>
          <w:color w:val="000000" w:themeColor="text1"/>
        </w:rPr>
        <w:t xml:space="preserve">Finalmente, </w:t>
      </w:r>
      <w:r w:rsidR="00433B4E" w:rsidRPr="00E51638">
        <w:rPr>
          <w:color w:val="000000" w:themeColor="text1"/>
        </w:rPr>
        <w:t xml:space="preserve">al resolver los </w:t>
      </w:r>
      <w:r w:rsidR="00433B4E" w:rsidRPr="00E51638">
        <w:rPr>
          <w:i/>
          <w:iCs/>
          <w:color w:val="000000" w:themeColor="text1"/>
        </w:rPr>
        <w:t>amparos en revisión 25/2021</w:t>
      </w:r>
      <w:r w:rsidR="00433B4E" w:rsidRPr="00E51638">
        <w:rPr>
          <w:rStyle w:val="Refdenotaalpie"/>
          <w:color w:val="000000" w:themeColor="text1"/>
        </w:rPr>
        <w:footnoteReference w:id="70"/>
      </w:r>
      <w:r w:rsidR="00433B4E" w:rsidRPr="00E51638">
        <w:rPr>
          <w:color w:val="000000" w:themeColor="text1"/>
        </w:rPr>
        <w:t xml:space="preserve"> y</w:t>
      </w:r>
      <w:r w:rsidR="00433B4E" w:rsidRPr="00E51638">
        <w:rPr>
          <w:i/>
          <w:iCs/>
          <w:color w:val="000000" w:themeColor="text1"/>
        </w:rPr>
        <w:t xml:space="preserve"> 2</w:t>
      </w:r>
      <w:r w:rsidR="00E91F96" w:rsidRPr="00E51638">
        <w:rPr>
          <w:i/>
          <w:iCs/>
          <w:color w:val="000000" w:themeColor="text1"/>
        </w:rPr>
        <w:t>7</w:t>
      </w:r>
      <w:r w:rsidR="00433B4E" w:rsidRPr="00E51638">
        <w:rPr>
          <w:i/>
          <w:iCs/>
          <w:color w:val="000000" w:themeColor="text1"/>
        </w:rPr>
        <w:t>/2021</w:t>
      </w:r>
      <w:r w:rsidR="00433B4E" w:rsidRPr="00E51638">
        <w:rPr>
          <w:rStyle w:val="Refdenotaalpie"/>
          <w:color w:val="000000" w:themeColor="text1"/>
        </w:rPr>
        <w:footnoteReference w:id="71"/>
      </w:r>
      <w:r w:rsidR="00433B4E" w:rsidRPr="00E51638">
        <w:rPr>
          <w:color w:val="000000" w:themeColor="text1"/>
        </w:rPr>
        <w:t>,</w:t>
      </w:r>
      <w:r w:rsidRPr="00E51638">
        <w:rPr>
          <w:color w:val="000000" w:themeColor="text1"/>
        </w:rPr>
        <w:t xml:space="preserve"> la Primera Sala de este Alto Tribunal sentó los últimos precedentes relacionados con el control jurisdiccional de actos intraparlamentarios, apuntalando así, la línea jurisprudencial con la que se ha dado amplitud al derecho de acceso a la jurisdicción y la </w:t>
      </w:r>
      <w:r w:rsidR="00433B4E" w:rsidRPr="00E51638">
        <w:rPr>
          <w:color w:val="000000" w:themeColor="text1"/>
        </w:rPr>
        <w:t>tutela de los derechos de participación política en su dimensión de ejercicio de los cargos públicos representativos.</w:t>
      </w:r>
    </w:p>
    <w:p w14:paraId="29BE3A7F" w14:textId="47F67A8D" w:rsidR="00A2440A" w:rsidRPr="00E51638" w:rsidRDefault="00A2440A" w:rsidP="004F4F55">
      <w:pPr>
        <w:pStyle w:val="Prrafo"/>
        <w:numPr>
          <w:ilvl w:val="0"/>
          <w:numId w:val="6"/>
        </w:numPr>
        <w:spacing w:after="0"/>
        <w:ind w:left="0" w:hanging="567"/>
        <w:rPr>
          <w:i/>
          <w:iCs/>
          <w:color w:val="000000" w:themeColor="text1"/>
        </w:rPr>
      </w:pPr>
      <w:r w:rsidRPr="00E51638">
        <w:rPr>
          <w:color w:val="000000" w:themeColor="text1"/>
        </w:rPr>
        <w:t>En estos recursos de revisión, los recurrentes eran personas que se autoadscribían como integrantes de la comunidad Lésbico, Gay, Bisexual, Transgénero, Intersex y más (LGBTI+) y sus familiares</w:t>
      </w:r>
      <w:r w:rsidR="00516E62" w:rsidRPr="00E51638">
        <w:rPr>
          <w:color w:val="000000" w:themeColor="text1"/>
        </w:rPr>
        <w:t xml:space="preserve"> y asociaciones civiles</w:t>
      </w:r>
      <w:r w:rsidRPr="00E51638">
        <w:rPr>
          <w:color w:val="000000" w:themeColor="text1"/>
        </w:rPr>
        <w:t xml:space="preserve">, quienes promovieron juicio de amparo para impugnar </w:t>
      </w:r>
      <w:r w:rsidR="00516E62" w:rsidRPr="00E51638">
        <w:rPr>
          <w:color w:val="000000" w:themeColor="text1"/>
        </w:rPr>
        <w:t xml:space="preserve">los actos del Congreso </w:t>
      </w:r>
      <w:r w:rsidR="009A01E1" w:rsidRPr="00E51638">
        <w:rPr>
          <w:color w:val="000000" w:themeColor="text1"/>
        </w:rPr>
        <w:t>de Yucatán, su Mesa Directiva y su Presidente, por los que se impuso un mecanismo de votación por cédula secreta —en lugar de hacerlo en forma pública— para la aprobación del “</w:t>
      </w:r>
      <w:r w:rsidR="009A01E1" w:rsidRPr="00E51638">
        <w:rPr>
          <w:i/>
          <w:iCs/>
          <w:color w:val="000000" w:themeColor="text1"/>
        </w:rPr>
        <w:t>Dictamen para reformar la Constitución Política del Estado de Yucatán con el objetivo de permitir el matrimonio igualitario en la entidad</w:t>
      </w:r>
      <w:r w:rsidR="009A01E1" w:rsidRPr="00E51638">
        <w:rPr>
          <w:color w:val="000000" w:themeColor="text1"/>
        </w:rPr>
        <w:t>” que culminó con el rechazo del Dictamen y por tanto, de la propuesta de reforma de la Constitución local.</w:t>
      </w:r>
    </w:p>
    <w:p w14:paraId="2B00B52E" w14:textId="0B544400" w:rsidR="00C349C1" w:rsidRPr="00E51638" w:rsidRDefault="00C349C1" w:rsidP="004F4F55">
      <w:pPr>
        <w:pStyle w:val="Prrafo"/>
        <w:numPr>
          <w:ilvl w:val="0"/>
          <w:numId w:val="6"/>
        </w:numPr>
        <w:spacing w:after="0"/>
        <w:ind w:left="0" w:hanging="567"/>
        <w:rPr>
          <w:i/>
          <w:iCs/>
          <w:color w:val="000000" w:themeColor="text1"/>
        </w:rPr>
      </w:pPr>
      <w:r w:rsidRPr="00E51638">
        <w:rPr>
          <w:color w:val="000000" w:themeColor="text1"/>
        </w:rPr>
        <w:t xml:space="preserve">En estos asuntos, los </w:t>
      </w:r>
      <w:r w:rsidR="007A6F50" w:rsidRPr="00E51638">
        <w:rPr>
          <w:color w:val="000000" w:themeColor="text1"/>
        </w:rPr>
        <w:t>j</w:t>
      </w:r>
      <w:r w:rsidRPr="00E51638">
        <w:rPr>
          <w:color w:val="000000" w:themeColor="text1"/>
        </w:rPr>
        <w:t xml:space="preserve">ueces de Distrito sobreseyeron los juicios de amparo, por lo que las partes interpusieron recurso de revisión que fue conocido por la Primera Sala de la Suprema Corte de Justicia de la Nación, la cual, después </w:t>
      </w:r>
      <w:r w:rsidR="00A513DB" w:rsidRPr="00E51638">
        <w:rPr>
          <w:color w:val="000000" w:themeColor="text1"/>
        </w:rPr>
        <w:t xml:space="preserve">de </w:t>
      </w:r>
      <w:r w:rsidRPr="00E51638">
        <w:rPr>
          <w:color w:val="000000" w:themeColor="text1"/>
        </w:rPr>
        <w:t>revocar las sentencias recurridas, reasumieron jurisdicción y analizaron los planteamientos de los amparistas.</w:t>
      </w:r>
    </w:p>
    <w:p w14:paraId="55C86018" w14:textId="298CA7D0" w:rsidR="00C349C1" w:rsidRPr="00E51638" w:rsidRDefault="00B4338D" w:rsidP="004F4F55">
      <w:pPr>
        <w:pStyle w:val="Prrafo"/>
        <w:numPr>
          <w:ilvl w:val="0"/>
          <w:numId w:val="6"/>
        </w:numPr>
        <w:spacing w:after="0"/>
        <w:ind w:left="0" w:hanging="567"/>
        <w:rPr>
          <w:i/>
          <w:iCs/>
          <w:color w:val="000000" w:themeColor="text1"/>
        </w:rPr>
      </w:pPr>
      <w:r w:rsidRPr="00E51638">
        <w:rPr>
          <w:color w:val="000000" w:themeColor="text1"/>
        </w:rPr>
        <w:lastRenderedPageBreak/>
        <w:t>L</w:t>
      </w:r>
      <w:r w:rsidR="00C349C1" w:rsidRPr="00E51638">
        <w:rPr>
          <w:color w:val="000000" w:themeColor="text1"/>
        </w:rPr>
        <w:t xml:space="preserve">a Primera Sala declaró que los actos impugnados </w:t>
      </w:r>
      <w:r w:rsidR="00402218" w:rsidRPr="00E51638">
        <w:rPr>
          <w:color w:val="000000" w:themeColor="text1"/>
        </w:rPr>
        <w:t xml:space="preserve">se dieron durante un procedimiento legislativo, pero no tuvieron como consecuencia la emisión de una norma, de manera que </w:t>
      </w:r>
      <w:r w:rsidR="00402218" w:rsidRPr="00E51638">
        <w:rPr>
          <w:color w:val="000000" w:themeColor="text1"/>
          <w:u w:val="single"/>
        </w:rPr>
        <w:t>se impugnan actos parlamentarios de carácter intralegislativos</w:t>
      </w:r>
      <w:r w:rsidR="00402218" w:rsidRPr="00E51638">
        <w:rPr>
          <w:color w:val="000000" w:themeColor="text1"/>
        </w:rPr>
        <w:t>.</w:t>
      </w:r>
      <w:r w:rsidR="00C349C1" w:rsidRPr="00E51638">
        <w:rPr>
          <w:color w:val="000000" w:themeColor="text1"/>
        </w:rPr>
        <w:t xml:space="preserve"> </w:t>
      </w:r>
    </w:p>
    <w:p w14:paraId="69AC3645" w14:textId="68382332" w:rsidR="00402218" w:rsidRPr="00E51638" w:rsidRDefault="00402218" w:rsidP="004F4F55">
      <w:pPr>
        <w:pStyle w:val="Prrafo"/>
        <w:numPr>
          <w:ilvl w:val="0"/>
          <w:numId w:val="6"/>
        </w:numPr>
        <w:spacing w:after="0"/>
        <w:ind w:left="0" w:hanging="567"/>
        <w:rPr>
          <w:i/>
          <w:iCs/>
          <w:color w:val="000000" w:themeColor="text1"/>
        </w:rPr>
      </w:pPr>
      <w:r w:rsidRPr="00E51638">
        <w:rPr>
          <w:color w:val="000000" w:themeColor="text1"/>
        </w:rPr>
        <w:t xml:space="preserve">Dicho lo anterior, la Primera Sala emprendió la tarea de delimitar si </w:t>
      </w:r>
      <w:r w:rsidRPr="00E51638">
        <w:rPr>
          <w:i/>
          <w:iCs/>
          <w:color w:val="000000" w:themeColor="text1"/>
        </w:rPr>
        <w:t xml:space="preserve">¿Es posible o no impugnar un acto u omisión del Poder Legislativo que no redunde en la emisión </w:t>
      </w:r>
      <w:r w:rsidR="00A513DB" w:rsidRPr="00E51638">
        <w:rPr>
          <w:i/>
          <w:iCs/>
          <w:color w:val="000000" w:themeColor="text1"/>
        </w:rPr>
        <w:t>d</w:t>
      </w:r>
      <w:r w:rsidRPr="00E51638">
        <w:rPr>
          <w:i/>
          <w:iCs/>
          <w:color w:val="000000" w:themeColor="text1"/>
        </w:rPr>
        <w:t>e una norma jurídica?</w:t>
      </w:r>
    </w:p>
    <w:p w14:paraId="4A340431" w14:textId="672E7864" w:rsidR="00402218" w:rsidRPr="00E51638" w:rsidRDefault="00402218" w:rsidP="004F4F55">
      <w:pPr>
        <w:pStyle w:val="Prrafo"/>
        <w:numPr>
          <w:ilvl w:val="0"/>
          <w:numId w:val="6"/>
        </w:numPr>
        <w:spacing w:after="0"/>
        <w:ind w:left="0" w:hanging="567"/>
        <w:rPr>
          <w:color w:val="000000" w:themeColor="text1"/>
        </w:rPr>
      </w:pPr>
      <w:r w:rsidRPr="00E51638">
        <w:rPr>
          <w:color w:val="000000" w:themeColor="text1"/>
        </w:rPr>
        <w:t xml:space="preserve">Al respecto, </w:t>
      </w:r>
      <w:r w:rsidRPr="00E51638">
        <w:rPr>
          <w:b/>
          <w:bCs/>
          <w:color w:val="000000" w:themeColor="text1"/>
          <w:u w:val="single"/>
        </w:rPr>
        <w:t xml:space="preserve">la Suprema Corte consideró que </w:t>
      </w:r>
      <w:r w:rsidR="00DD2297" w:rsidRPr="00E51638">
        <w:rPr>
          <w:b/>
          <w:bCs/>
          <w:color w:val="000000" w:themeColor="text1"/>
          <w:u w:val="single"/>
        </w:rPr>
        <w:t>sí es posible impugnar actos parlamentarios de carácter intralegislativo</w:t>
      </w:r>
      <w:r w:rsidR="00DD2297" w:rsidRPr="00E51638">
        <w:rPr>
          <w:color w:val="000000" w:themeColor="text1"/>
        </w:rPr>
        <w:t>, ya que la regla general del juicio de amparo es la posibilidad de controlar cualquier acto u omisión de autoridad, incluyendo los del Poder Legislativo —con la única excepción de los supuestos excluidos de forma expresa po</w:t>
      </w:r>
      <w:r w:rsidR="00366947" w:rsidRPr="00E51638">
        <w:rPr>
          <w:color w:val="000000" w:themeColor="text1"/>
        </w:rPr>
        <w:t>r la Constitución o Ley de Amparo—.</w:t>
      </w:r>
    </w:p>
    <w:p w14:paraId="3F797E1A" w14:textId="5CFC1B2F" w:rsidR="00366947" w:rsidRPr="00E51638" w:rsidRDefault="00BC6272" w:rsidP="004F4F55">
      <w:pPr>
        <w:pStyle w:val="Prrafo"/>
        <w:numPr>
          <w:ilvl w:val="0"/>
          <w:numId w:val="6"/>
        </w:numPr>
        <w:spacing w:after="0"/>
        <w:ind w:left="0" w:hanging="567"/>
        <w:rPr>
          <w:color w:val="000000" w:themeColor="text1"/>
        </w:rPr>
      </w:pPr>
      <w:r w:rsidRPr="00E51638">
        <w:rPr>
          <w:color w:val="000000" w:themeColor="text1"/>
        </w:rPr>
        <w:t>La Primera Sala reconoció que, con motivo de la reforma constitucional de dos mil once en materia de amparo y el reconocimiento del interés legítimo para permitir acceder al juicio de amparo, abrieron la discusión de la impugnabilidad de diferentes actos parlamentarios intralegislativos</w:t>
      </w:r>
      <w:r w:rsidR="00305B6E" w:rsidRPr="00E51638">
        <w:rPr>
          <w:color w:val="000000" w:themeColor="text1"/>
        </w:rPr>
        <w:t xml:space="preserve">, que sean </w:t>
      </w:r>
      <w:r w:rsidRPr="00E51638">
        <w:rPr>
          <w:color w:val="000000" w:themeColor="text1"/>
        </w:rPr>
        <w:t>distintos a lo</w:t>
      </w:r>
      <w:r w:rsidR="00305B6E" w:rsidRPr="00E51638">
        <w:rPr>
          <w:color w:val="000000" w:themeColor="text1"/>
        </w:rPr>
        <w:t>s</w:t>
      </w:r>
      <w:r w:rsidRPr="00E51638">
        <w:rPr>
          <w:color w:val="000000" w:themeColor="text1"/>
        </w:rPr>
        <w:t xml:space="preserve"> expresamente vedados en la Ley de Amparo como</w:t>
      </w:r>
      <w:r w:rsidR="00305B6E" w:rsidRPr="00E51638">
        <w:rPr>
          <w:color w:val="000000" w:themeColor="text1"/>
        </w:rPr>
        <w:t xml:space="preserve">: </w:t>
      </w:r>
      <w:r w:rsidR="00305B6E" w:rsidRPr="00E51638">
        <w:rPr>
          <w:b/>
          <w:bCs/>
          <w:color w:val="000000" w:themeColor="text1"/>
        </w:rPr>
        <w:t>a)</w:t>
      </w:r>
      <w:r w:rsidR="00305B6E" w:rsidRPr="00E51638">
        <w:rPr>
          <w:color w:val="000000" w:themeColor="text1"/>
        </w:rPr>
        <w:t xml:space="preserve"> aquellos q</w:t>
      </w:r>
      <w:r w:rsidRPr="00E51638">
        <w:rPr>
          <w:color w:val="000000" w:themeColor="text1"/>
        </w:rPr>
        <w:t>ue se llevan a cabo en colaboración del Legislativo con otros poderes para el nombramiento, designación o ratificación de cargos públicos</w:t>
      </w:r>
      <w:r w:rsidR="00305B6E" w:rsidRPr="00E51638">
        <w:rPr>
          <w:color w:val="000000" w:themeColor="text1"/>
        </w:rPr>
        <w:t xml:space="preserve">, o bien, </w:t>
      </w:r>
      <w:r w:rsidR="00305B6E" w:rsidRPr="00E51638">
        <w:rPr>
          <w:b/>
          <w:bCs/>
          <w:color w:val="000000" w:themeColor="text1"/>
        </w:rPr>
        <w:t xml:space="preserve">b) </w:t>
      </w:r>
      <w:r w:rsidR="00305B6E" w:rsidRPr="00E51638">
        <w:rPr>
          <w:color w:val="000000" w:themeColor="text1"/>
        </w:rPr>
        <w:t>contra las resoluciones del Congreso en procedimientos de declaración de procedencia y juicio político, o en elección, suspensión o remoción de funcionarios</w:t>
      </w:r>
      <w:r w:rsidR="000C2846" w:rsidRPr="00E51638">
        <w:rPr>
          <w:color w:val="000000" w:themeColor="text1"/>
        </w:rPr>
        <w:t>, en los que la Constitución les confiera una facultad soberana</w:t>
      </w:r>
      <w:r w:rsidR="00305B6E" w:rsidRPr="00E51638">
        <w:rPr>
          <w:color w:val="000000" w:themeColor="text1"/>
        </w:rPr>
        <w:t>.</w:t>
      </w:r>
    </w:p>
    <w:p w14:paraId="0A06D23E" w14:textId="0F672EE4" w:rsidR="00305B6E" w:rsidRPr="00E51638" w:rsidRDefault="00B26A41" w:rsidP="004F4F55">
      <w:pPr>
        <w:pStyle w:val="Prrafo"/>
        <w:numPr>
          <w:ilvl w:val="0"/>
          <w:numId w:val="6"/>
        </w:numPr>
        <w:spacing w:after="0"/>
        <w:ind w:left="0" w:hanging="567"/>
        <w:rPr>
          <w:color w:val="000000" w:themeColor="text1"/>
        </w:rPr>
      </w:pPr>
      <w:r w:rsidRPr="00E51638">
        <w:rPr>
          <w:color w:val="000000" w:themeColor="text1"/>
        </w:rPr>
        <w:t xml:space="preserve">En estos precedentes, la Primera Sala sostuvo que, como regla general, los actos u omisiones de naturaleza intralegislativa de los órganos del Poder Legislativo </w:t>
      </w:r>
      <w:r w:rsidRPr="00E51638">
        <w:rPr>
          <w:b/>
          <w:bCs/>
          <w:color w:val="000000" w:themeColor="text1"/>
          <w:u w:val="single"/>
        </w:rPr>
        <w:t>son justiciables a través del juicio de amparo y la decisión sobre la procedencia o no de la impugnación deberá hacerse caso a caso</w:t>
      </w:r>
      <w:r w:rsidRPr="00E51638">
        <w:rPr>
          <w:color w:val="000000" w:themeColor="text1"/>
        </w:rPr>
        <w:t>.</w:t>
      </w:r>
    </w:p>
    <w:p w14:paraId="2AA762BE" w14:textId="654F4CE7" w:rsidR="005F25DB" w:rsidRPr="00E51638" w:rsidRDefault="00B26A41" w:rsidP="004F4F55">
      <w:pPr>
        <w:pStyle w:val="Prrafo"/>
        <w:numPr>
          <w:ilvl w:val="0"/>
          <w:numId w:val="6"/>
        </w:numPr>
        <w:spacing w:after="0"/>
        <w:ind w:left="0" w:hanging="567"/>
        <w:rPr>
          <w:color w:val="000000" w:themeColor="text1"/>
        </w:rPr>
      </w:pPr>
      <w:r w:rsidRPr="00E51638">
        <w:rPr>
          <w:color w:val="000000" w:themeColor="text1"/>
        </w:rPr>
        <w:t xml:space="preserve">Asimismo —partiendo de la teoría de los </w:t>
      </w:r>
      <w:r w:rsidR="00F76B66" w:rsidRPr="00E51638">
        <w:rPr>
          <w:color w:val="000000" w:themeColor="text1"/>
        </w:rPr>
        <w:t>“</w:t>
      </w:r>
      <w:r w:rsidR="00F76B66" w:rsidRPr="00E51638">
        <w:rPr>
          <w:i/>
          <w:iCs/>
          <w:color w:val="000000" w:themeColor="text1"/>
        </w:rPr>
        <w:t>interna corporis acta</w:t>
      </w:r>
      <w:r w:rsidR="00F76B66" w:rsidRPr="00E51638">
        <w:rPr>
          <w:color w:val="000000" w:themeColor="text1"/>
        </w:rPr>
        <w:t>”</w:t>
      </w:r>
      <w:r w:rsidRPr="00E51638">
        <w:rPr>
          <w:color w:val="000000" w:themeColor="text1"/>
        </w:rPr>
        <w:t>—</w:t>
      </w:r>
      <w:r w:rsidR="00F76B66" w:rsidRPr="00E51638">
        <w:rPr>
          <w:color w:val="000000" w:themeColor="text1"/>
        </w:rPr>
        <w:t xml:space="preserve"> la Primera Sala refirió que no pasa por alto que el Poder Legislativo es el representante democrático y que muchas de sus decisiones se encuentran dentro de la esfera </w:t>
      </w:r>
      <w:r w:rsidR="00F76B66" w:rsidRPr="00E51638">
        <w:rPr>
          <w:color w:val="000000" w:themeColor="text1"/>
        </w:rPr>
        <w:lastRenderedPageBreak/>
        <w:t>política de decisión protegida por la soberanía parlamentaria</w:t>
      </w:r>
      <w:r w:rsidR="00D17180" w:rsidRPr="00E51638">
        <w:rPr>
          <w:color w:val="000000" w:themeColor="text1"/>
        </w:rPr>
        <w:t xml:space="preserve">. </w:t>
      </w:r>
      <w:r w:rsidR="00F76B66" w:rsidRPr="00E51638">
        <w:rPr>
          <w:color w:val="000000" w:themeColor="text1"/>
        </w:rPr>
        <w:t xml:space="preserve">Sin embargo, </w:t>
      </w:r>
      <w:r w:rsidR="005F25DB" w:rsidRPr="00E51638">
        <w:rPr>
          <w:color w:val="000000" w:themeColor="text1"/>
        </w:rPr>
        <w:t xml:space="preserve">reconoce que, actualmente, la dinámica constitucional de sistemas constitucionales como el mexicano es que: </w:t>
      </w:r>
    </w:p>
    <w:p w14:paraId="129149E7" w14:textId="607F20F1" w:rsidR="00EB0DAC" w:rsidRPr="00E51638" w:rsidRDefault="005F25DB" w:rsidP="005F25DB">
      <w:pPr>
        <w:pStyle w:val="Prrafo"/>
        <w:spacing w:after="0" w:line="276" w:lineRule="auto"/>
        <w:ind w:left="708" w:right="567"/>
        <w:rPr>
          <w:color w:val="000000" w:themeColor="text1"/>
        </w:rPr>
      </w:pPr>
      <w:r w:rsidRPr="00E51638">
        <w:rPr>
          <w:color w:val="000000" w:themeColor="text1"/>
        </w:rPr>
        <w:t xml:space="preserve">“(…) </w:t>
      </w:r>
      <w:r w:rsidR="00F76B66" w:rsidRPr="00E51638">
        <w:rPr>
          <w:i/>
          <w:iCs/>
          <w:color w:val="000000" w:themeColor="text1"/>
        </w:rPr>
        <w:t xml:space="preserve">el proceso político del órgano representativo puede presentar ciertas patologías y perversiones que hacen viable un control de constitucionalidad por parte de un órgano externo e imparcial. Así, con sus divergencias y matizaciones, se ha aceptado que uno de los papeles esenciales de los tribunales constitucionales en los Estados democráticos consiste en: evitar y combatir las patologías y perversiones que puede sufrir el proceso democrático a manos del propio mayoritarismo; </w:t>
      </w:r>
      <w:r w:rsidR="00F76B66" w:rsidRPr="00E51638">
        <w:rPr>
          <w:b/>
          <w:bCs/>
          <w:i/>
          <w:iCs/>
          <w:color w:val="000000" w:themeColor="text1"/>
          <w:u w:val="single"/>
        </w:rPr>
        <w:t>por lo que el Poder Legislativo es sujeto de revisión constitucional</w:t>
      </w:r>
      <w:r w:rsidRPr="00E51638">
        <w:rPr>
          <w:color w:val="000000" w:themeColor="text1"/>
        </w:rPr>
        <w:t>”</w:t>
      </w:r>
      <w:r w:rsidRPr="00E51638">
        <w:rPr>
          <w:rStyle w:val="Refdenotaalpie"/>
          <w:color w:val="000000" w:themeColor="text1"/>
        </w:rPr>
        <w:footnoteReference w:id="72"/>
      </w:r>
      <w:r w:rsidR="00F76B66" w:rsidRPr="00E51638">
        <w:rPr>
          <w:color w:val="000000" w:themeColor="text1"/>
        </w:rPr>
        <w:t>.</w:t>
      </w:r>
    </w:p>
    <w:p w14:paraId="5AD5FD7A" w14:textId="047EA325" w:rsidR="005F25DB" w:rsidRPr="00E51638" w:rsidRDefault="00154D96" w:rsidP="004F4F55">
      <w:pPr>
        <w:pStyle w:val="Prrafo"/>
        <w:numPr>
          <w:ilvl w:val="0"/>
          <w:numId w:val="6"/>
        </w:numPr>
        <w:spacing w:after="0"/>
        <w:ind w:left="0" w:hanging="567"/>
        <w:rPr>
          <w:color w:val="000000" w:themeColor="text1"/>
        </w:rPr>
      </w:pPr>
      <w:r w:rsidRPr="00E51638">
        <w:rPr>
          <w:color w:val="000000" w:themeColor="text1"/>
        </w:rPr>
        <w:t>De esta manera, se sostuvo que es posible la existencia de ciertos actos u omisiones parlamentarias intralegislativas en l</w:t>
      </w:r>
      <w:r w:rsidR="0069282E" w:rsidRPr="00E51638">
        <w:rPr>
          <w:color w:val="000000" w:themeColor="text1"/>
        </w:rPr>
        <w:t>a</w:t>
      </w:r>
      <w:r w:rsidRPr="00E51638">
        <w:rPr>
          <w:color w:val="000000" w:themeColor="text1"/>
        </w:rPr>
        <w:t xml:space="preserve">s que </w:t>
      </w:r>
      <w:r w:rsidR="0069282E" w:rsidRPr="00E51638">
        <w:rPr>
          <w:color w:val="000000" w:themeColor="text1"/>
        </w:rPr>
        <w:t>sería constitucionalmente posible afirmar</w:t>
      </w:r>
      <w:r w:rsidRPr="00E51638">
        <w:rPr>
          <w:color w:val="000000" w:themeColor="text1"/>
        </w:rPr>
        <w:t xml:space="preserve"> que el Poder Judicial se vea impedido </w:t>
      </w:r>
      <w:r w:rsidR="00C37FEC" w:rsidRPr="00E51638">
        <w:rPr>
          <w:color w:val="000000" w:themeColor="text1"/>
        </w:rPr>
        <w:t>a</w:t>
      </w:r>
      <w:r w:rsidRPr="00E51638">
        <w:rPr>
          <w:color w:val="000000" w:themeColor="text1"/>
        </w:rPr>
        <w:t xml:space="preserve"> intervenir en un espacio en el que los parlamentarios se mueven atendiendo a consideraciones autónomas derivadas de que la Constitución haya otorgado una determinada discrecionalidad al órgano parlamentario.</w:t>
      </w:r>
    </w:p>
    <w:p w14:paraId="5BF83A30" w14:textId="52D512B0" w:rsidR="00C37FEC" w:rsidRPr="00E51638" w:rsidRDefault="00C37FEC" w:rsidP="00C37FEC">
      <w:pPr>
        <w:pStyle w:val="Prrafo"/>
        <w:numPr>
          <w:ilvl w:val="0"/>
          <w:numId w:val="6"/>
        </w:numPr>
        <w:spacing w:after="0"/>
        <w:ind w:left="0" w:hanging="567"/>
        <w:rPr>
          <w:color w:val="000000" w:themeColor="text1"/>
        </w:rPr>
      </w:pPr>
      <w:r w:rsidRPr="00E51638">
        <w:rPr>
          <w:color w:val="000000" w:themeColor="text1"/>
        </w:rPr>
        <w:t>Incluso la Primera Sala insistió en que: “</w:t>
      </w:r>
      <w:r w:rsidRPr="00E51638">
        <w:rPr>
          <w:b/>
          <w:bCs/>
          <w:i/>
          <w:iCs/>
          <w:color w:val="000000" w:themeColor="text1"/>
          <w:u w:val="single"/>
        </w:rPr>
        <w:t xml:space="preserve">la autonomía del Poder Legislativo </w:t>
      </w:r>
      <w:r w:rsidRPr="00E51638">
        <w:rPr>
          <w:i/>
          <w:iCs/>
          <w:color w:val="000000" w:themeColor="text1"/>
        </w:rPr>
        <w:t xml:space="preserve">(así como de cualquier otro órgano del Estado) </w:t>
      </w:r>
      <w:r w:rsidRPr="00E51638">
        <w:rPr>
          <w:b/>
          <w:bCs/>
          <w:i/>
          <w:iCs/>
          <w:color w:val="000000" w:themeColor="text1"/>
          <w:u w:val="single"/>
        </w:rPr>
        <w:t>y la división de poderes no pueden implicar de ningún modo que la generalidad de los actos internos de este Poder no estén sujetos a la Constitución Federal</w:t>
      </w:r>
      <w:r w:rsidRPr="00E51638">
        <w:rPr>
          <w:b/>
          <w:bCs/>
          <w:i/>
          <w:iCs/>
          <w:color w:val="000000" w:themeColor="text1"/>
        </w:rPr>
        <w:t xml:space="preserve"> </w:t>
      </w:r>
      <w:r w:rsidRPr="00E51638">
        <w:rPr>
          <w:color w:val="000000" w:themeColor="text1"/>
        </w:rPr>
        <w:t>(…)</w:t>
      </w:r>
      <w:r w:rsidRPr="00E51638">
        <w:rPr>
          <w:i/>
          <w:iCs/>
          <w:color w:val="000000" w:themeColor="text1"/>
        </w:rPr>
        <w:t xml:space="preserve"> </w:t>
      </w:r>
      <w:r w:rsidRPr="00E51638">
        <w:rPr>
          <w:b/>
          <w:bCs/>
          <w:i/>
          <w:iCs/>
          <w:color w:val="000000" w:themeColor="text1"/>
          <w:u w:val="single"/>
        </w:rPr>
        <w:t>el Poder Legislativo siempre estará obligado a cumplir el contenido material de la Constitución Federal</w:t>
      </w:r>
      <w:r w:rsidRPr="00E51638">
        <w:rPr>
          <w:i/>
          <w:iCs/>
          <w:color w:val="000000" w:themeColor="text1"/>
        </w:rPr>
        <w:t>, así como sus disposiciones orgánicas y los principios que sustentan a estas últimas</w:t>
      </w:r>
      <w:r w:rsidRPr="00E51638">
        <w:rPr>
          <w:color w:val="000000" w:themeColor="text1"/>
        </w:rPr>
        <w:t>”.</w:t>
      </w:r>
    </w:p>
    <w:p w14:paraId="1FCD8310" w14:textId="09456C68" w:rsidR="005329C3" w:rsidRPr="00E51638" w:rsidRDefault="00E45963" w:rsidP="00C37FEC">
      <w:pPr>
        <w:pStyle w:val="Prrafo"/>
        <w:numPr>
          <w:ilvl w:val="0"/>
          <w:numId w:val="6"/>
        </w:numPr>
        <w:spacing w:after="0"/>
        <w:ind w:left="0" w:hanging="567"/>
        <w:rPr>
          <w:color w:val="000000" w:themeColor="text1"/>
        </w:rPr>
      </w:pPr>
      <w:r w:rsidRPr="00E51638">
        <w:rPr>
          <w:color w:val="000000" w:themeColor="text1"/>
        </w:rPr>
        <w:t>En est</w:t>
      </w:r>
      <w:r w:rsidR="005329C3" w:rsidRPr="00E51638">
        <w:rPr>
          <w:color w:val="000000" w:themeColor="text1"/>
        </w:rPr>
        <w:t>os casos</w:t>
      </w:r>
      <w:r w:rsidRPr="00E51638">
        <w:rPr>
          <w:color w:val="000000" w:themeColor="text1"/>
        </w:rPr>
        <w:t xml:space="preserve">, la Suprema Corte estimó </w:t>
      </w:r>
      <w:r w:rsidR="005329C3" w:rsidRPr="00E51638">
        <w:rPr>
          <w:color w:val="000000" w:themeColor="text1"/>
        </w:rPr>
        <w:t xml:space="preserve">que la revisión constitucional de los actos intralegislativos no pone en entredicho el modelo constitucional, el equilibrio entre poderes ni la autonomía del Poder Legislativo, pues los actos reclamados (instrucción de la Mesa Directiva de realizar una votación secreta por cédula y su ejecución) </w:t>
      </w:r>
      <w:r w:rsidR="005329C3" w:rsidRPr="00E51638">
        <w:rPr>
          <w:b/>
          <w:bCs/>
          <w:color w:val="000000" w:themeColor="text1"/>
        </w:rPr>
        <w:t xml:space="preserve">no es una cuestión reservada en única instancia </w:t>
      </w:r>
      <w:r w:rsidR="005329C3" w:rsidRPr="00E51638">
        <w:rPr>
          <w:b/>
          <w:bCs/>
          <w:color w:val="000000" w:themeColor="text1"/>
        </w:rPr>
        <w:lastRenderedPageBreak/>
        <w:t xml:space="preserve">por la Constitución a una valoración por el órgano legislativo; es decir, </w:t>
      </w:r>
      <w:r w:rsidR="005329C3" w:rsidRPr="00E51638">
        <w:rPr>
          <w:b/>
          <w:bCs/>
          <w:color w:val="000000" w:themeColor="text1"/>
          <w:u w:val="single"/>
        </w:rPr>
        <w:t>no son actos que la Constitución haya conferido al legislador una discreción absoluta por criterios políticos</w:t>
      </w:r>
      <w:r w:rsidR="005329C3" w:rsidRPr="00E51638">
        <w:rPr>
          <w:color w:val="000000" w:themeColor="text1"/>
        </w:rPr>
        <w:t>.</w:t>
      </w:r>
    </w:p>
    <w:p w14:paraId="307BEEE1" w14:textId="44434909" w:rsidR="005329C3" w:rsidRPr="00E51638" w:rsidRDefault="005329C3" w:rsidP="00C37FEC">
      <w:pPr>
        <w:pStyle w:val="Prrafo"/>
        <w:numPr>
          <w:ilvl w:val="0"/>
          <w:numId w:val="6"/>
        </w:numPr>
        <w:spacing w:after="0"/>
        <w:ind w:left="0" w:hanging="567"/>
        <w:rPr>
          <w:color w:val="000000" w:themeColor="text1"/>
        </w:rPr>
      </w:pPr>
      <w:r w:rsidRPr="00E51638">
        <w:rPr>
          <w:color w:val="000000" w:themeColor="text1"/>
        </w:rPr>
        <w:t xml:space="preserve">Por tanto, aceptar la justiciabilidad de estos actos </w:t>
      </w:r>
      <w:r w:rsidR="002D2CD7" w:rsidRPr="00E51638">
        <w:rPr>
          <w:color w:val="000000" w:themeColor="text1"/>
        </w:rPr>
        <w:t xml:space="preserve">no rompe con la autonomía parlamentaria delimitada por la Constitución General ni implica alguna forma de </w:t>
      </w:r>
      <w:r w:rsidR="002D2CD7" w:rsidRPr="00E51638">
        <w:rPr>
          <w:i/>
          <w:iCs/>
          <w:color w:val="000000" w:themeColor="text1"/>
        </w:rPr>
        <w:t xml:space="preserve">politización de la justicia constitucional: </w:t>
      </w:r>
      <w:r w:rsidR="002D2CD7" w:rsidRPr="00E51638">
        <w:rPr>
          <w:b/>
          <w:bCs/>
          <w:color w:val="000000" w:themeColor="text1"/>
        </w:rPr>
        <w:t xml:space="preserve">la publicidad de la votación parlamentaria es una precondición formal del debate democrático que opera en un plano procesal que </w:t>
      </w:r>
      <w:r w:rsidR="002D2CD7" w:rsidRPr="00E51638">
        <w:rPr>
          <w:b/>
          <w:bCs/>
          <w:color w:val="000000" w:themeColor="text1"/>
          <w:u w:val="single"/>
        </w:rPr>
        <w:t>trasciende cualquier consideración política por parte de las legislaturas</w:t>
      </w:r>
      <w:r w:rsidR="002D2CD7" w:rsidRPr="00E51638">
        <w:rPr>
          <w:color w:val="000000" w:themeColor="text1"/>
        </w:rPr>
        <w:t>.</w:t>
      </w:r>
    </w:p>
    <w:p w14:paraId="1EAA1E0C" w14:textId="475C7A78" w:rsidR="005329C3" w:rsidRPr="00E51638" w:rsidRDefault="008702B5" w:rsidP="00C37FEC">
      <w:pPr>
        <w:pStyle w:val="Prrafo"/>
        <w:numPr>
          <w:ilvl w:val="0"/>
          <w:numId w:val="6"/>
        </w:numPr>
        <w:spacing w:after="0"/>
        <w:ind w:left="0" w:hanging="567"/>
        <w:rPr>
          <w:color w:val="000000" w:themeColor="text1"/>
        </w:rPr>
      </w:pPr>
      <w:r w:rsidRPr="00E51638">
        <w:rPr>
          <w:color w:val="000000" w:themeColor="text1"/>
        </w:rPr>
        <w:t>Como se puede apreciar</w:t>
      </w:r>
      <w:r w:rsidR="004E26E9" w:rsidRPr="00E51638">
        <w:rPr>
          <w:color w:val="000000" w:themeColor="text1"/>
        </w:rPr>
        <w:t>,</w:t>
      </w:r>
      <w:r w:rsidRPr="00E51638">
        <w:rPr>
          <w:color w:val="000000" w:themeColor="text1"/>
        </w:rPr>
        <w:t xml:space="preserve"> la</w:t>
      </w:r>
      <w:r w:rsidR="004E26E9" w:rsidRPr="00E51638">
        <w:rPr>
          <w:color w:val="000000" w:themeColor="text1"/>
        </w:rPr>
        <w:t xml:space="preserve"> línea jurisprudencial que han seguido las Salas de esta Suprema Corte de Justicia de la Nación se ha decantado, en los últimos años, por maximizar la protección jurisdiccional de los derechos fundamentales,  incluso frente a actos parlamentarios intralegislativos que sean susceptibles de lesionar algún derecho, siempre y cuando, esos actos no se encuentren reservados constitucionalmente a favor del Poder Legislativo en uso de facultades discrecionales de carácter eminentemente político.</w:t>
      </w:r>
    </w:p>
    <w:p w14:paraId="3CD85A97" w14:textId="7F8AF0DE" w:rsidR="004E26E9" w:rsidRPr="00E51638" w:rsidRDefault="004E26E9" w:rsidP="00C37FEC">
      <w:pPr>
        <w:pStyle w:val="Prrafo"/>
        <w:numPr>
          <w:ilvl w:val="0"/>
          <w:numId w:val="6"/>
        </w:numPr>
        <w:spacing w:after="0"/>
        <w:ind w:left="0" w:hanging="567"/>
        <w:rPr>
          <w:color w:val="000000" w:themeColor="text1"/>
        </w:rPr>
      </w:pPr>
      <w:r w:rsidRPr="00E51638">
        <w:rPr>
          <w:color w:val="000000" w:themeColor="text1"/>
        </w:rPr>
        <w:t>Es decir, este Alto Tribunal ha sido deferente de la autonomía parlamentaria y siempre ha protegido la división de poderes y la soberanía del Poder Legislativo; lo cual no implica que se trate de un órgano que pueda abstraerse de respetar la Constitución y ser sometido a control jurisdiccional en los casos en que no ejerza una facultad discrecional de corte político.</w:t>
      </w:r>
    </w:p>
    <w:p w14:paraId="104768CA" w14:textId="77777777" w:rsidR="00F43810" w:rsidRPr="00E51638" w:rsidRDefault="00F43810" w:rsidP="00F43810">
      <w:pPr>
        <w:pStyle w:val="Prrafo"/>
        <w:spacing w:before="0" w:after="0" w:line="240" w:lineRule="auto"/>
        <w:rPr>
          <w:color w:val="000000" w:themeColor="text1"/>
        </w:rPr>
      </w:pPr>
    </w:p>
    <w:p w14:paraId="7B465E35" w14:textId="7DB7C488" w:rsidR="0037743D" w:rsidRPr="00E51638" w:rsidRDefault="00996A82" w:rsidP="00996A82">
      <w:pPr>
        <w:pStyle w:val="Prrafo"/>
        <w:spacing w:after="0"/>
        <w:outlineLvl w:val="3"/>
        <w:rPr>
          <w:b/>
          <w:color w:val="000000" w:themeColor="text1"/>
        </w:rPr>
      </w:pPr>
      <w:bookmarkStart w:id="86" w:name="_Toc108795874"/>
      <w:bookmarkStart w:id="87" w:name="_Toc109004128"/>
      <w:bookmarkStart w:id="88" w:name="_Toc113984446"/>
      <w:r w:rsidRPr="00E51638">
        <w:rPr>
          <w:b/>
          <w:bCs/>
          <w:color w:val="000000" w:themeColor="text1"/>
        </w:rPr>
        <w:t xml:space="preserve">V.3. </w:t>
      </w:r>
      <w:r w:rsidR="004635CF" w:rsidRPr="00E51638">
        <w:rPr>
          <w:b/>
          <w:bCs/>
          <w:color w:val="000000" w:themeColor="text1"/>
        </w:rPr>
        <w:t>Violación del derecho de tutela judicial efectiva y del orden democrático mexicano. Ausencia de un recurso efectivo para proteger el derecho político-electoral de ser votado, en su vertiente de acceso y desempeño del cargo</w:t>
      </w:r>
      <w:r w:rsidR="0037743D" w:rsidRPr="00E51638">
        <w:rPr>
          <w:color w:val="000000" w:themeColor="text1"/>
        </w:rPr>
        <w:t>.</w:t>
      </w:r>
      <w:bookmarkEnd w:id="86"/>
      <w:bookmarkEnd w:id="87"/>
      <w:bookmarkEnd w:id="88"/>
    </w:p>
    <w:p w14:paraId="559914E8" w14:textId="5B205353" w:rsidR="0037743D" w:rsidRPr="00E51638" w:rsidRDefault="0037743D" w:rsidP="0037743D">
      <w:pPr>
        <w:pStyle w:val="Prrafo"/>
        <w:numPr>
          <w:ilvl w:val="0"/>
          <w:numId w:val="6"/>
        </w:numPr>
        <w:spacing w:after="0"/>
        <w:ind w:left="0" w:hanging="567"/>
        <w:rPr>
          <w:color w:val="000000" w:themeColor="text1"/>
        </w:rPr>
      </w:pPr>
      <w:r w:rsidRPr="00E51638">
        <w:rPr>
          <w:color w:val="000000" w:themeColor="text1"/>
        </w:rPr>
        <w:t xml:space="preserve">Una vez que se ha dado cuenta con la jurisprudencia de esta Suprema Corte de Justicia de la Nación y de otras Altas Cortes con relación a la procedencia del control jurisdiccional de actos parlamentarios y, específicamente, del núcleo esencial de la función representativa (garantizando el derecho de los </w:t>
      </w:r>
      <w:r w:rsidRPr="00E51638">
        <w:rPr>
          <w:color w:val="000000" w:themeColor="text1"/>
        </w:rPr>
        <w:lastRenderedPageBreak/>
        <w:t xml:space="preserve">parlamentarios para ejercer su encargo sin obstrucciones ilegítimas o indebidas), es necesario responder si </w:t>
      </w:r>
      <w:r w:rsidRPr="00E51638">
        <w:rPr>
          <w:i/>
          <w:iCs/>
          <w:color w:val="000000" w:themeColor="text1"/>
        </w:rPr>
        <w:t xml:space="preserve">¿El artículo 10, numeral 1, inciso h), de la Ley General del Sistema de Medios de Impugnación en Materia Electoral, vulnera el derecho de </w:t>
      </w:r>
      <w:r w:rsidR="002812A6" w:rsidRPr="00E51638">
        <w:rPr>
          <w:i/>
          <w:iCs/>
          <w:color w:val="000000" w:themeColor="text1"/>
        </w:rPr>
        <w:t>las personas</w:t>
      </w:r>
      <w:r w:rsidRPr="00E51638">
        <w:rPr>
          <w:i/>
          <w:iCs/>
          <w:color w:val="000000" w:themeColor="text1"/>
        </w:rPr>
        <w:t xml:space="preserve"> parlamentari</w:t>
      </w:r>
      <w:r w:rsidR="002812A6" w:rsidRPr="00E51638">
        <w:rPr>
          <w:i/>
          <w:iCs/>
          <w:color w:val="000000" w:themeColor="text1"/>
        </w:rPr>
        <w:t>a</w:t>
      </w:r>
      <w:r w:rsidRPr="00E51638">
        <w:rPr>
          <w:i/>
          <w:iCs/>
          <w:color w:val="000000" w:themeColor="text1"/>
        </w:rPr>
        <w:t>s a que se les tutele su derecho de acceso y desempeño de la función (ius in officium)?</w:t>
      </w:r>
    </w:p>
    <w:p w14:paraId="6CC3F9A5" w14:textId="297A9B95" w:rsidR="0037743D" w:rsidRPr="00E51638" w:rsidRDefault="0037743D" w:rsidP="0037743D">
      <w:pPr>
        <w:pStyle w:val="Prrafo"/>
        <w:numPr>
          <w:ilvl w:val="0"/>
          <w:numId w:val="6"/>
        </w:numPr>
        <w:spacing w:after="0"/>
        <w:ind w:left="0" w:hanging="567"/>
        <w:rPr>
          <w:color w:val="000000" w:themeColor="text1"/>
        </w:rPr>
      </w:pPr>
      <w:r w:rsidRPr="00E51638">
        <w:rPr>
          <w:color w:val="000000" w:themeColor="text1"/>
        </w:rPr>
        <w:t xml:space="preserve">Este Tribunal Pleno considera que </w:t>
      </w:r>
      <w:r w:rsidRPr="00E51638">
        <w:rPr>
          <w:b/>
          <w:bCs/>
          <w:color w:val="000000" w:themeColor="text1"/>
        </w:rPr>
        <w:t>la norma impugnada vulnera los derechos de l</w:t>
      </w:r>
      <w:r w:rsidR="002812A6" w:rsidRPr="00E51638">
        <w:rPr>
          <w:b/>
          <w:bCs/>
          <w:color w:val="000000" w:themeColor="text1"/>
        </w:rPr>
        <w:t>as personas parlamentarias</w:t>
      </w:r>
      <w:r w:rsidRPr="00E51638">
        <w:rPr>
          <w:b/>
          <w:bCs/>
          <w:color w:val="000000" w:themeColor="text1"/>
        </w:rPr>
        <w:t xml:space="preserve"> y, por tanto, es inconstitucional y lo conducente es </w:t>
      </w:r>
      <w:r w:rsidRPr="00E51638">
        <w:rPr>
          <w:b/>
          <w:bCs/>
          <w:color w:val="000000" w:themeColor="text1"/>
          <w:u w:val="single"/>
        </w:rPr>
        <w:t>declarar su invalidez</w:t>
      </w:r>
      <w:r w:rsidR="004458B3" w:rsidRPr="00E51638">
        <w:rPr>
          <w:color w:val="000000" w:themeColor="text1"/>
        </w:rPr>
        <w:t>, por las siguientes razones.</w:t>
      </w:r>
    </w:p>
    <w:p w14:paraId="361C7681" w14:textId="2B23EA60" w:rsidR="00A27C0A" w:rsidRPr="00E51638" w:rsidRDefault="004458B3" w:rsidP="00A27C0A">
      <w:pPr>
        <w:pStyle w:val="Prrafo"/>
        <w:numPr>
          <w:ilvl w:val="0"/>
          <w:numId w:val="6"/>
        </w:numPr>
        <w:spacing w:after="0"/>
        <w:ind w:left="0" w:hanging="567"/>
      </w:pPr>
      <w:r w:rsidRPr="00E51638">
        <w:t>Primero, debe recordarse que e</w:t>
      </w:r>
      <w:r w:rsidR="00A27C0A" w:rsidRPr="00E51638">
        <w:t>n este apartado se estudian conjuntamente los conceptos de invalidez que los accionantes hicieron valer con relación a la vulneración del derecho de tutela judicial efectiva</w:t>
      </w:r>
      <w:r w:rsidR="00A27C0A" w:rsidRPr="00E51638">
        <w:rPr>
          <w:rStyle w:val="Refdenotaalpie"/>
        </w:rPr>
        <w:footnoteReference w:id="73"/>
      </w:r>
      <w:r w:rsidR="00A27C0A" w:rsidRPr="00E51638">
        <w:t xml:space="preserve"> y en torno a la violación al orden democrático mexicano</w:t>
      </w:r>
      <w:r w:rsidR="00A27C0A" w:rsidRPr="00E51638">
        <w:rPr>
          <w:rStyle w:val="Refdenotaalpie"/>
        </w:rPr>
        <w:footnoteReference w:id="74"/>
      </w:r>
      <w:r w:rsidR="00A27C0A" w:rsidRPr="00E51638">
        <w:t xml:space="preserve">, pues este grupo de argumentos se encuentran íntimamente vinculados y, en términos generales, consisten en lo siguiente: </w:t>
      </w:r>
    </w:p>
    <w:p w14:paraId="7CFAF180" w14:textId="77777777" w:rsidR="00A27C0A" w:rsidRPr="00E51638" w:rsidRDefault="00A27C0A" w:rsidP="00A27C0A">
      <w:pPr>
        <w:pStyle w:val="Prrafo"/>
        <w:numPr>
          <w:ilvl w:val="1"/>
          <w:numId w:val="6"/>
        </w:numPr>
        <w:spacing w:after="0"/>
        <w:ind w:left="567"/>
      </w:pPr>
      <w:r w:rsidRPr="00E51638">
        <w:t xml:space="preserve">La reforma impugnada incumple con la </w:t>
      </w:r>
      <w:r w:rsidRPr="00E51638">
        <w:rPr>
          <w:u w:val="single"/>
        </w:rPr>
        <w:t>obligación del Estado mexicano de prever un recurso judicial efectivo en contra de actos parlamentarios</w:t>
      </w:r>
      <w:r w:rsidRPr="00E51638">
        <w:t xml:space="preserve"> que resulten violatorios de los derechos político-electorales (particularmente de las minorías). En consecuencia, también se vulneran los derechos de audiencia, debida defensa, protección judicial, tutela judicial efectiva, acceso a la justicia y a un recurso efectivo.</w:t>
      </w:r>
    </w:p>
    <w:p w14:paraId="420FB602" w14:textId="77777777" w:rsidR="00A27C0A" w:rsidRPr="00E51638" w:rsidRDefault="00A27C0A" w:rsidP="00A27C0A">
      <w:pPr>
        <w:pStyle w:val="Prrafo"/>
        <w:numPr>
          <w:ilvl w:val="1"/>
          <w:numId w:val="6"/>
        </w:numPr>
        <w:spacing w:after="0"/>
        <w:ind w:left="567"/>
      </w:pPr>
      <w:r w:rsidRPr="00E51638">
        <w:t>La reforma impugnada impide en forma absoluta el ejercicio de los recursos judiciales en asuntos parlamentarios con implicaciones eminentemente constitucionales y electorales, lo cual es contrario a la Constitución General y a la Convención Americana de Derechos Humanos, ya que el Estado Mexicano se encuentra obligado a contemplar un recurso efectivo que permita a las personas impugnar los actos que consideren violatorios de sus derechos humanos.</w:t>
      </w:r>
    </w:p>
    <w:p w14:paraId="6FC643F7" w14:textId="77777777" w:rsidR="00A27C0A" w:rsidRPr="00E51638" w:rsidRDefault="00A27C0A" w:rsidP="00A27C0A">
      <w:pPr>
        <w:pStyle w:val="Prrafo"/>
        <w:numPr>
          <w:ilvl w:val="1"/>
          <w:numId w:val="6"/>
        </w:numPr>
        <w:spacing w:after="0"/>
        <w:ind w:left="567"/>
      </w:pPr>
      <w:r w:rsidRPr="00E51638">
        <w:lastRenderedPageBreak/>
        <w:t>Lo anterior también vulnera el orden democrático mexicano, pues la prohibición absoluta de tutelar en sede jurisdiccional las impugnaciones en contra de actos intraparlamentarios vulnera el derecho de la ciudadanía a ser votada, específicamente en su vertiente de acceso y desempeño del cargo público en condiciones de igualdad.</w:t>
      </w:r>
    </w:p>
    <w:p w14:paraId="242A4162" w14:textId="77777777" w:rsidR="00A27C0A" w:rsidRPr="00E51638" w:rsidRDefault="00A27C0A" w:rsidP="00A27C0A">
      <w:pPr>
        <w:pStyle w:val="Prrafo"/>
        <w:numPr>
          <w:ilvl w:val="1"/>
          <w:numId w:val="6"/>
        </w:numPr>
        <w:spacing w:after="0"/>
        <w:ind w:left="567"/>
      </w:pPr>
      <w:r w:rsidRPr="00E51638">
        <w:t>El derecho a ser votado no se agota con el proceso electivo, sino que comprende el derecho a permanecer en el cargo y ejercer las funciones que le son inherentes, de manera que la jurisdicción constitucional electoral debe contar con un recurso efectivo para asegurar que los parlamentarios no solo puedan acceder a la función legislativa, sino que cuenten con los derechos y prerrogativas inherentes al cargo.</w:t>
      </w:r>
    </w:p>
    <w:p w14:paraId="041B20C0" w14:textId="77777777" w:rsidR="00A27C0A" w:rsidRPr="00E51638" w:rsidRDefault="00A27C0A" w:rsidP="00A27C0A">
      <w:pPr>
        <w:pStyle w:val="Prrafo"/>
        <w:numPr>
          <w:ilvl w:val="1"/>
          <w:numId w:val="6"/>
        </w:numPr>
        <w:spacing w:after="0"/>
        <w:ind w:left="567"/>
      </w:pPr>
      <w:r w:rsidRPr="00E51638">
        <w:t>Lo anterior, porque existen actos parlamentarios concernientes a la integración, organización y funcionamiento de los órganos internos y las comisiones legislativas, que pueden afectar los derechos político-electorales de la ciudadanía y el sistema democrático mismo, razón por la que es necesario contar con un mecanismo efectivo para proteger esos derechos frente a las transgresiones de la mayoría parlamentaria.</w:t>
      </w:r>
    </w:p>
    <w:p w14:paraId="1FC4188E" w14:textId="2B1310BE" w:rsidR="00A27C0A" w:rsidRPr="00E51638" w:rsidRDefault="00A27C0A" w:rsidP="00A27C0A">
      <w:pPr>
        <w:pStyle w:val="Prrafo"/>
        <w:numPr>
          <w:ilvl w:val="0"/>
          <w:numId w:val="6"/>
        </w:numPr>
        <w:spacing w:after="0"/>
        <w:ind w:left="0" w:hanging="567"/>
      </w:pPr>
      <w:r w:rsidRPr="00E51638">
        <w:t xml:space="preserve">Para </w:t>
      </w:r>
      <w:r w:rsidR="004458B3" w:rsidRPr="00E51638">
        <w:t>dar respuesta a</w:t>
      </w:r>
      <w:r w:rsidRPr="00E51638">
        <w:t xml:space="preserve"> los planteamientos de Movimiento Ciudadano y de la minoría parlamentaria accionante, </w:t>
      </w:r>
      <w:r w:rsidR="004458B3" w:rsidRPr="00E51638">
        <w:t>a</w:t>
      </w:r>
      <w:r w:rsidR="00EB2540">
        <w:t xml:space="preserve"> </w:t>
      </w:r>
      <w:r w:rsidR="004458B3" w:rsidRPr="00E51638">
        <w:t xml:space="preserve">continuación se analizarán los argumentos hechos valer, contrastándolos con </w:t>
      </w:r>
      <w:r w:rsidRPr="00E51638">
        <w:t xml:space="preserve">el parámetro de constitucionalidad </w:t>
      </w:r>
      <w:r w:rsidR="004458B3" w:rsidRPr="00E51638">
        <w:t>expuesto en páginas previas</w:t>
      </w:r>
      <w:r w:rsidRPr="00E51638">
        <w:t xml:space="preserve">. </w:t>
      </w:r>
      <w:r w:rsidR="004458B3" w:rsidRPr="00E51638">
        <w:t>Asimismo, vale destacar que</w:t>
      </w:r>
      <w:r w:rsidRPr="00E51638">
        <w:t xml:space="preserve"> </w:t>
      </w:r>
      <w:r w:rsidRPr="00E51638">
        <w:rPr>
          <w:b/>
          <w:bCs/>
        </w:rPr>
        <w:t>en el presente apartado únicamente se abordará la aducida vulneración de los derechos de participación política desde la óptica del derecho a ser votado y su dimensión de acceso y ejercicio del cargo</w:t>
      </w:r>
      <w:r w:rsidRPr="00E51638">
        <w:t xml:space="preserve">. </w:t>
      </w:r>
    </w:p>
    <w:p w14:paraId="40EEB8E8" w14:textId="312BE21D" w:rsidR="00A27C0A" w:rsidRPr="00E51638" w:rsidRDefault="00A27C0A" w:rsidP="00A27C0A">
      <w:pPr>
        <w:pStyle w:val="Prrafo"/>
        <w:numPr>
          <w:ilvl w:val="0"/>
          <w:numId w:val="6"/>
        </w:numPr>
        <w:spacing w:after="0"/>
        <w:ind w:left="0" w:hanging="567"/>
      </w:pPr>
      <w:r w:rsidRPr="00E51638">
        <w:t>De esta manera, al menos en este apartado,</w:t>
      </w:r>
      <w:r w:rsidRPr="00E51638">
        <w:rPr>
          <w:b/>
          <w:bCs/>
        </w:rPr>
        <w:t xml:space="preserve"> </w:t>
      </w:r>
      <w:r w:rsidRPr="00E51638">
        <w:rPr>
          <w:b/>
          <w:bCs/>
          <w:u w:val="single"/>
        </w:rPr>
        <w:t>este Alto Tribunal no adelantará criterio alguno con relación a la posibilidad de que la ciudadanía en general —que no ocupe un cargo parlamentario— pudiera estar legitimada para acudir ante el Tribunal Electoral aduciendo que un acto intraparlamentario vulnera su derecho a ser representado debidamente</w:t>
      </w:r>
      <w:r w:rsidRPr="00E51638">
        <w:t xml:space="preserve">. Ese no es el motivo de impugnación en esta acción de inconstitucionalidad y, esta Suprema Corte no </w:t>
      </w:r>
      <w:r w:rsidRPr="00E51638">
        <w:lastRenderedPageBreak/>
        <w:t>advierte la necesidad de abordar el caso en este apartado</w:t>
      </w:r>
      <w:r w:rsidR="00F84731" w:rsidRPr="00E51638">
        <w:t>, lo cual no prejuzga sobre la posibilidad de que las personas que no ejercen algún cargo público representativo pudieran combatir actos intraparlamentarios</w:t>
      </w:r>
      <w:r w:rsidRPr="00E51638">
        <w:t>.</w:t>
      </w:r>
    </w:p>
    <w:p w14:paraId="5DD4E907" w14:textId="1876875F" w:rsidR="00A27C0A" w:rsidRPr="00E51638" w:rsidRDefault="00A27C0A" w:rsidP="00A27C0A">
      <w:pPr>
        <w:pStyle w:val="Prrafo"/>
        <w:numPr>
          <w:ilvl w:val="0"/>
          <w:numId w:val="6"/>
        </w:numPr>
        <w:spacing w:after="0"/>
        <w:ind w:left="0" w:hanging="567"/>
      </w:pPr>
      <w:r w:rsidRPr="00E51638">
        <w:t>Se insiste, lo que en este caso plantean los accionantes es que la norma impugnada es inconstitucional por vedar el derecho de las personas que ocupan un cargo parlamentario, de acudir ante el Tribunal Electoral del Poder Judicial de la Federación para combatir un acto intraparlamentario que imposibilita o impide que desarrollen adecuadamente su función parlamentaria.</w:t>
      </w:r>
    </w:p>
    <w:p w14:paraId="354D2854" w14:textId="400A5C87" w:rsidR="0037743D" w:rsidRPr="00E51638" w:rsidRDefault="0037743D" w:rsidP="00F43810">
      <w:pPr>
        <w:pStyle w:val="Prrafo"/>
        <w:numPr>
          <w:ilvl w:val="0"/>
          <w:numId w:val="6"/>
        </w:numPr>
        <w:ind w:left="0" w:hanging="567"/>
        <w:rPr>
          <w:color w:val="000000" w:themeColor="text1"/>
        </w:rPr>
      </w:pPr>
      <w:r w:rsidRPr="00E51638">
        <w:rPr>
          <w:color w:val="000000" w:themeColor="text1"/>
        </w:rPr>
        <w:t>Como se recordará, la norma impugnada es del tenor siguiente:</w:t>
      </w:r>
    </w:p>
    <w:p w14:paraId="7DDF3FB6" w14:textId="77777777" w:rsidR="00F43810" w:rsidRPr="00E51638" w:rsidRDefault="00F43810" w:rsidP="00F43810">
      <w:pPr>
        <w:pStyle w:val="Prrafo"/>
        <w:spacing w:after="0" w:line="276" w:lineRule="auto"/>
        <w:ind w:left="708"/>
        <w:rPr>
          <w:color w:val="000000" w:themeColor="text1"/>
        </w:rPr>
      </w:pPr>
      <w:bookmarkStart w:id="89" w:name="OLE_LINK1"/>
    </w:p>
    <w:p w14:paraId="6C10DBE1" w14:textId="30CE855E" w:rsidR="0037743D" w:rsidRPr="00B25A9A" w:rsidRDefault="0037743D" w:rsidP="00F43810">
      <w:pPr>
        <w:pStyle w:val="Prrafo"/>
        <w:spacing w:after="0" w:line="276" w:lineRule="auto"/>
        <w:ind w:left="708"/>
        <w:rPr>
          <w:i/>
          <w:iCs/>
          <w:color w:val="000000" w:themeColor="text1"/>
        </w:rPr>
      </w:pPr>
      <w:r w:rsidRPr="00E51638">
        <w:rPr>
          <w:color w:val="000000" w:themeColor="text1"/>
        </w:rPr>
        <w:t>“</w:t>
      </w:r>
      <w:r w:rsidRPr="00B25A9A">
        <w:rPr>
          <w:b/>
          <w:bCs/>
          <w:i/>
          <w:iCs/>
          <w:color w:val="000000" w:themeColor="text1"/>
        </w:rPr>
        <w:t>Artículo 10</w:t>
      </w:r>
    </w:p>
    <w:p w14:paraId="5DD03DDF" w14:textId="77777777" w:rsidR="0037743D" w:rsidRPr="00B25A9A" w:rsidRDefault="0037743D" w:rsidP="0037743D">
      <w:pPr>
        <w:pStyle w:val="Prrafo"/>
        <w:spacing w:before="0" w:after="0" w:line="276" w:lineRule="auto"/>
        <w:ind w:left="709" w:right="851"/>
        <w:contextualSpacing/>
        <w:rPr>
          <w:i/>
          <w:iCs/>
          <w:color w:val="000000" w:themeColor="text1"/>
        </w:rPr>
      </w:pPr>
      <w:r w:rsidRPr="00B25A9A">
        <w:rPr>
          <w:b/>
          <w:bCs/>
          <w:i/>
          <w:iCs/>
          <w:color w:val="000000" w:themeColor="text1"/>
        </w:rPr>
        <w:t>1.</w:t>
      </w:r>
      <w:r w:rsidRPr="00B25A9A">
        <w:rPr>
          <w:i/>
          <w:iCs/>
          <w:color w:val="000000" w:themeColor="text1"/>
        </w:rPr>
        <w:t xml:space="preserve"> Los medios de impugnación previstos en esta ley serán improcedentes en los siguientes casos: </w:t>
      </w:r>
    </w:p>
    <w:p w14:paraId="18E28D06" w14:textId="77777777" w:rsidR="0037743D" w:rsidRPr="00B25A9A" w:rsidRDefault="0037743D" w:rsidP="0037743D">
      <w:pPr>
        <w:pStyle w:val="Prrafo"/>
        <w:spacing w:before="0" w:after="0" w:line="276" w:lineRule="auto"/>
        <w:ind w:left="708" w:right="850"/>
        <w:rPr>
          <w:i/>
          <w:iCs/>
          <w:color w:val="000000" w:themeColor="text1"/>
        </w:rPr>
      </w:pPr>
      <w:r w:rsidRPr="00B25A9A">
        <w:rPr>
          <w:i/>
          <w:iCs/>
          <w:color w:val="000000" w:themeColor="text1"/>
        </w:rPr>
        <w:t>(…)</w:t>
      </w:r>
    </w:p>
    <w:p w14:paraId="4648E011" w14:textId="77777777" w:rsidR="0037743D" w:rsidRPr="00E51638" w:rsidRDefault="0037743D" w:rsidP="00F43810">
      <w:pPr>
        <w:pStyle w:val="Prrafo"/>
        <w:spacing w:before="0" w:line="276" w:lineRule="auto"/>
        <w:ind w:left="708" w:right="850"/>
        <w:rPr>
          <w:color w:val="000000" w:themeColor="text1"/>
        </w:rPr>
      </w:pPr>
      <w:r w:rsidRPr="00B25A9A">
        <w:rPr>
          <w:b/>
          <w:bCs/>
          <w:i/>
          <w:iCs/>
          <w:color w:val="000000" w:themeColor="text1"/>
        </w:rPr>
        <w:t xml:space="preserve">h) </w:t>
      </w:r>
      <w:r w:rsidRPr="00B25A9A">
        <w:rPr>
          <w:i/>
          <w:iCs/>
          <w:color w:val="000000" w:themeColor="text1"/>
        </w:rPr>
        <w:t>Cuando se pretenda impugnar cualquier acto parlamentario del Congreso de la Unión, su Comisión Permanente o cualquiera de sus Cámaras, emitido por sus órganos de gobierno, como los concernientes a la integración, organización y funcionamiento internos de sus órganos y comisiones legislativas</w:t>
      </w:r>
      <w:r w:rsidRPr="00E51638">
        <w:rPr>
          <w:color w:val="000000" w:themeColor="text1"/>
        </w:rPr>
        <w:t>”.</w:t>
      </w:r>
    </w:p>
    <w:bookmarkEnd w:id="89"/>
    <w:p w14:paraId="74C8D18D" w14:textId="4E80705A" w:rsidR="0037743D" w:rsidRPr="00E51638" w:rsidRDefault="00B571E9" w:rsidP="0037743D">
      <w:pPr>
        <w:pStyle w:val="Prrafo"/>
        <w:numPr>
          <w:ilvl w:val="0"/>
          <w:numId w:val="6"/>
        </w:numPr>
        <w:spacing w:after="0"/>
        <w:ind w:left="0" w:hanging="567"/>
        <w:rPr>
          <w:color w:val="000000" w:themeColor="text1"/>
        </w:rPr>
      </w:pPr>
      <w:r w:rsidRPr="00E51638">
        <w:rPr>
          <w:color w:val="000000" w:themeColor="text1"/>
        </w:rPr>
        <w:t>C</w:t>
      </w:r>
      <w:r w:rsidR="0037743D" w:rsidRPr="00E51638">
        <w:rPr>
          <w:color w:val="000000" w:themeColor="text1"/>
        </w:rPr>
        <w:t xml:space="preserve">on la norma anterior, el Legislador Federal </w:t>
      </w:r>
      <w:r w:rsidR="008C27D7" w:rsidRPr="00E51638">
        <w:rPr>
          <w:color w:val="000000" w:themeColor="text1"/>
        </w:rPr>
        <w:t xml:space="preserve">estableció un nuevo supuesto de improcedencia de los juicios electorales a cargo del Tribunal Electoral del Poder Judicial de la Federación, consistente en que </w:t>
      </w:r>
      <w:r w:rsidRPr="00E51638">
        <w:rPr>
          <w:i/>
          <w:iCs/>
          <w:color w:val="000000" w:themeColor="text1"/>
        </w:rPr>
        <w:t xml:space="preserve">no podrá impugnarse ante ese órgano jurisdiccional los </w:t>
      </w:r>
      <w:r w:rsidR="008C27D7" w:rsidRPr="00E51638">
        <w:rPr>
          <w:i/>
          <w:iCs/>
          <w:color w:val="000000" w:themeColor="text1"/>
        </w:rPr>
        <w:t xml:space="preserve">actos parlamentarios del Congreso de la Unión y </w:t>
      </w:r>
      <w:r w:rsidR="00E2629A" w:rsidRPr="00E51638">
        <w:rPr>
          <w:i/>
          <w:iCs/>
          <w:color w:val="000000" w:themeColor="text1"/>
        </w:rPr>
        <w:t>de sus órganos y comisiones, como lo son los referentes a la integración, organización y funcionamiento interno de dichos órganos y comisiones.</w:t>
      </w:r>
    </w:p>
    <w:p w14:paraId="4EE1366C" w14:textId="4386ABDF" w:rsidR="0037743D" w:rsidRPr="00E51638" w:rsidRDefault="001206BB" w:rsidP="00E2629A">
      <w:pPr>
        <w:pStyle w:val="Prrafo"/>
        <w:numPr>
          <w:ilvl w:val="0"/>
          <w:numId w:val="6"/>
        </w:numPr>
        <w:spacing w:after="0"/>
        <w:ind w:left="0" w:hanging="567"/>
        <w:rPr>
          <w:color w:val="000000" w:themeColor="text1"/>
        </w:rPr>
      </w:pPr>
      <w:r w:rsidRPr="00E51638">
        <w:rPr>
          <w:color w:val="000000" w:themeColor="text1"/>
        </w:rPr>
        <w:t xml:space="preserve">En </w:t>
      </w:r>
      <w:r w:rsidR="0037743D" w:rsidRPr="00E51638">
        <w:rPr>
          <w:color w:val="000000" w:themeColor="text1"/>
        </w:rPr>
        <w:t xml:space="preserve">la exposición de motivos de la iniciativa suscrita por integrantes de los Grupos Parlamentarios de </w:t>
      </w:r>
      <w:r w:rsidR="00E2629A" w:rsidRPr="00E51638">
        <w:rPr>
          <w:color w:val="000000" w:themeColor="text1"/>
        </w:rPr>
        <w:t>los partidos políticos MORENA</w:t>
      </w:r>
      <w:r w:rsidR="0037743D" w:rsidRPr="00E51638">
        <w:rPr>
          <w:color w:val="000000" w:themeColor="text1"/>
        </w:rPr>
        <w:t xml:space="preserve">, Revolucionario Institucional y del Trabajo, </w:t>
      </w:r>
      <w:r w:rsidRPr="00E51638">
        <w:rPr>
          <w:color w:val="000000" w:themeColor="text1"/>
        </w:rPr>
        <w:t>se refiere lo</w:t>
      </w:r>
      <w:r w:rsidR="00E2629A" w:rsidRPr="00E51638">
        <w:rPr>
          <w:color w:val="000000" w:themeColor="text1"/>
        </w:rPr>
        <w:t xml:space="preserve"> siguiente</w:t>
      </w:r>
      <w:r w:rsidR="0037743D" w:rsidRPr="00E51638">
        <w:rPr>
          <w:color w:val="000000" w:themeColor="text1"/>
        </w:rPr>
        <w:t>:</w:t>
      </w:r>
    </w:p>
    <w:p w14:paraId="30F1ADE5" w14:textId="75FF66C9" w:rsidR="0037743D" w:rsidRPr="00E51638" w:rsidRDefault="00E2629A" w:rsidP="00E2629A">
      <w:pPr>
        <w:spacing w:before="120" w:after="120"/>
        <w:ind w:left="709" w:right="567"/>
        <w:rPr>
          <w:i/>
          <w:iCs/>
          <w:color w:val="000000" w:themeColor="text1"/>
          <w:sz w:val="26"/>
          <w:szCs w:val="26"/>
        </w:rPr>
      </w:pPr>
      <w:r w:rsidRPr="00E51638">
        <w:rPr>
          <w:color w:val="000000" w:themeColor="text1"/>
          <w:sz w:val="26"/>
          <w:szCs w:val="26"/>
        </w:rPr>
        <w:t>“</w:t>
      </w:r>
      <w:r w:rsidR="0037743D" w:rsidRPr="00E51638">
        <w:rPr>
          <w:i/>
          <w:iCs/>
          <w:color w:val="000000" w:themeColor="text1"/>
          <w:sz w:val="26"/>
          <w:szCs w:val="26"/>
        </w:rPr>
        <w:t xml:space="preserve">La presente iniciativa tiene por objeto circunscribir el ejercicio de la jurisdicción electoral al conocimiento de los asuntos que la Constitución Federal le reserva con ocasión de la impugnación de </w:t>
      </w:r>
      <w:r w:rsidR="0037743D" w:rsidRPr="00E51638">
        <w:rPr>
          <w:i/>
          <w:iCs/>
          <w:color w:val="000000" w:themeColor="text1"/>
          <w:sz w:val="26"/>
          <w:szCs w:val="26"/>
        </w:rPr>
        <w:lastRenderedPageBreak/>
        <w:t>elecciones, actos y resoluciones de autoridades electorales, protección de derechos político electorales de los ciudadanos, conflictos o diferencias laborales entre el Tribunal Electoral del Poder Judicial de la Federación y/o el Instituto Nacional Electoral y sus servidores públicos, así como control de convencionalidad y control difuso de la constitucionalidad de leyes electorales.</w:t>
      </w:r>
    </w:p>
    <w:p w14:paraId="651E65D7" w14:textId="77777777" w:rsidR="0037743D" w:rsidRPr="00E51638" w:rsidRDefault="0037743D" w:rsidP="00E2629A">
      <w:pPr>
        <w:spacing w:before="0" w:after="120"/>
        <w:ind w:left="708" w:right="567"/>
        <w:rPr>
          <w:i/>
          <w:iCs/>
          <w:color w:val="000000" w:themeColor="text1"/>
          <w:sz w:val="26"/>
          <w:szCs w:val="26"/>
        </w:rPr>
      </w:pPr>
      <w:r w:rsidRPr="00E51638">
        <w:rPr>
          <w:i/>
          <w:iCs/>
          <w:color w:val="000000" w:themeColor="text1"/>
          <w:sz w:val="26"/>
          <w:szCs w:val="26"/>
        </w:rPr>
        <w:t xml:space="preserve">Se trata de asegurar que el ejercicio de la jurisdicción electoral se mantenga deferente al principio de división de poderes y al sistema constitucional de medios de impugnación en materia electoral. Para ello </w:t>
      </w:r>
      <w:r w:rsidRPr="00E51638">
        <w:rPr>
          <w:i/>
          <w:iCs/>
          <w:color w:val="000000" w:themeColor="text1"/>
          <w:sz w:val="26"/>
          <w:szCs w:val="26"/>
          <w:u w:val="single"/>
        </w:rPr>
        <w:t>se propone excluir de la competencia del Tribunal Electoral del Poder Judicial de la Federación, mediante una nueva causa de improcedencia de los medios de impugnación, el escrutinio de actos parlamentarios del Congreso de la Unión, de su Comisión Permanente, o de cada una de sus Cámaras, emitidos por sus órganos de gobierno, cuya finalidad sea la integración, organización y funcionamiento internos de sus órganos y comisiones legislativas</w:t>
      </w:r>
      <w:r w:rsidRPr="00E51638">
        <w:rPr>
          <w:i/>
          <w:iCs/>
          <w:color w:val="000000" w:themeColor="text1"/>
          <w:sz w:val="26"/>
          <w:szCs w:val="26"/>
        </w:rPr>
        <w:t>.</w:t>
      </w:r>
    </w:p>
    <w:p w14:paraId="5EE2E8C9" w14:textId="77777777" w:rsidR="0037743D" w:rsidRPr="00E51638" w:rsidRDefault="0037743D" w:rsidP="00E2629A">
      <w:pPr>
        <w:spacing w:before="0" w:after="120"/>
        <w:ind w:left="708" w:right="567"/>
        <w:rPr>
          <w:i/>
          <w:iCs/>
          <w:color w:val="000000" w:themeColor="text1"/>
          <w:sz w:val="26"/>
          <w:szCs w:val="26"/>
        </w:rPr>
      </w:pPr>
      <w:r w:rsidRPr="00E51638">
        <w:rPr>
          <w:i/>
          <w:iCs/>
          <w:color w:val="000000" w:themeColor="text1"/>
          <w:sz w:val="26"/>
          <w:szCs w:val="26"/>
        </w:rPr>
        <w:t>A 25 años de su creación el Tribunal Electoral del Poder Judicial de la Federación ha evolucionado y robustecido sus competencias constitucionales para erigirse en la máxima autoridad jurisdiccional en materia electoral en nuestro país. Esta evolución, sin embargo, ha sido acompañada de una línea y doctrina jurisprudencial respetuosa del principio de división de poderes.</w:t>
      </w:r>
    </w:p>
    <w:p w14:paraId="7C6B1727" w14:textId="77777777" w:rsidR="0037743D" w:rsidRPr="00E51638" w:rsidRDefault="0037743D" w:rsidP="00E2629A">
      <w:pPr>
        <w:spacing w:before="0" w:after="120"/>
        <w:ind w:left="708" w:right="567"/>
        <w:rPr>
          <w:i/>
          <w:iCs/>
          <w:color w:val="000000" w:themeColor="text1"/>
          <w:sz w:val="26"/>
          <w:szCs w:val="26"/>
        </w:rPr>
      </w:pPr>
      <w:r w:rsidRPr="00E51638">
        <w:rPr>
          <w:i/>
          <w:iCs/>
          <w:color w:val="000000" w:themeColor="text1"/>
          <w:sz w:val="26"/>
          <w:szCs w:val="26"/>
          <w:u w:val="single"/>
        </w:rPr>
        <w:t>El respeto al principio de la división de poderes se materializa en un régimen constitucional y legal de espacios libres de escrutinio, revisión, veto o sanción por parte de otros órganos del Estado respecto de actos específicos usualmente identificados como actos políticos o de gobierno</w:t>
      </w:r>
      <w:r w:rsidRPr="00E51638">
        <w:rPr>
          <w:i/>
          <w:iCs/>
          <w:color w:val="000000" w:themeColor="text1"/>
          <w:sz w:val="26"/>
          <w:szCs w:val="26"/>
        </w:rPr>
        <w:t>.</w:t>
      </w:r>
    </w:p>
    <w:p w14:paraId="269D8F0D" w14:textId="77777777" w:rsidR="0037743D" w:rsidRPr="00E51638" w:rsidRDefault="0037743D" w:rsidP="00E2629A">
      <w:pPr>
        <w:spacing w:before="0" w:after="120"/>
        <w:ind w:left="708" w:right="567"/>
        <w:rPr>
          <w:i/>
          <w:iCs/>
          <w:color w:val="000000" w:themeColor="text1"/>
          <w:sz w:val="26"/>
          <w:szCs w:val="26"/>
        </w:rPr>
      </w:pPr>
      <w:r w:rsidRPr="00E51638">
        <w:rPr>
          <w:i/>
          <w:iCs/>
          <w:color w:val="000000" w:themeColor="text1"/>
          <w:sz w:val="26"/>
          <w:szCs w:val="26"/>
        </w:rPr>
        <w:t>En la teoría, esta interacción consolida el concepto de gobernanza. Sin embargo, es necesario mencionar, que su instrumentación únicamente contempla el equilibrio de poderes en sistemas democráticos y procesos de participación que buscan un esquema de gobierno compartido entre lo público y lo privado.</w:t>
      </w:r>
    </w:p>
    <w:p w14:paraId="7726E813" w14:textId="77777777" w:rsidR="0037743D" w:rsidRPr="00E51638" w:rsidRDefault="0037743D" w:rsidP="00E2629A">
      <w:pPr>
        <w:spacing w:before="0" w:after="120"/>
        <w:ind w:left="708" w:right="567"/>
        <w:rPr>
          <w:i/>
          <w:iCs/>
          <w:color w:val="000000" w:themeColor="text1"/>
          <w:sz w:val="26"/>
          <w:szCs w:val="26"/>
        </w:rPr>
      </w:pPr>
      <w:r w:rsidRPr="00E51638">
        <w:rPr>
          <w:i/>
          <w:iCs/>
          <w:color w:val="000000" w:themeColor="text1"/>
          <w:sz w:val="26"/>
          <w:szCs w:val="26"/>
        </w:rPr>
        <w:t>Para que pueda desarrollarse de manera plena, se requiere de institucionalidad en los poderes públicos, sistemas de justicia, libre mercado, sociedad civil y un régimen fluido de relaciones entre las instituciones que fijan estos criterios. En este sentido, la división de poderes debe responder a las necesidades del modelo de pluralidad y cambio político, donde la toma de decisiones debe ser distribuida para equilibrar las responsabilidades y también, para hacer partícipe a la ciudadanía de los resultados. (…).</w:t>
      </w:r>
    </w:p>
    <w:p w14:paraId="2A38AAD5" w14:textId="77777777" w:rsidR="0037743D" w:rsidRPr="00E51638" w:rsidRDefault="0037743D" w:rsidP="00E2629A">
      <w:pPr>
        <w:spacing w:before="0" w:after="120"/>
        <w:ind w:left="708" w:right="567"/>
        <w:rPr>
          <w:i/>
          <w:iCs/>
          <w:color w:val="000000" w:themeColor="text1"/>
          <w:sz w:val="26"/>
          <w:szCs w:val="26"/>
        </w:rPr>
      </w:pPr>
      <w:r w:rsidRPr="00E51638">
        <w:rPr>
          <w:i/>
          <w:iCs/>
          <w:color w:val="000000" w:themeColor="text1"/>
          <w:sz w:val="26"/>
          <w:szCs w:val="26"/>
        </w:rPr>
        <w:lastRenderedPageBreak/>
        <w:t>Sin embargo, pese a la clara y estricta línea jurisprudencial de deferencia frente al Derecho Parlamentario, de manera intempestiva, en sesión pública del 26 de enero de 2022, la Sala Superior del Tribunal Electoral del Poder Judicial de la Federación, al resolver los juicios para la protección de los derechos político-electorales del ciudadano números SUP-JDC-1453/2021, SUP-JDC-1455/2021, SUP-JDC-1457/2021, así como el Juicio Electoral número SUP-JE-281/2021, abandonó dicha línea jurisprudencial sin que mediara una justificación sustantiva para ello.</w:t>
      </w:r>
    </w:p>
    <w:p w14:paraId="7187E1A9" w14:textId="77777777" w:rsidR="0037743D" w:rsidRPr="00E51638" w:rsidRDefault="0037743D" w:rsidP="00E2629A">
      <w:pPr>
        <w:spacing w:before="0" w:after="120"/>
        <w:ind w:left="708" w:right="567"/>
        <w:rPr>
          <w:i/>
          <w:iCs/>
          <w:color w:val="000000" w:themeColor="text1"/>
          <w:sz w:val="26"/>
          <w:szCs w:val="26"/>
        </w:rPr>
      </w:pPr>
      <w:r w:rsidRPr="00E51638">
        <w:rPr>
          <w:i/>
          <w:iCs/>
          <w:color w:val="000000" w:themeColor="text1"/>
          <w:sz w:val="26"/>
          <w:szCs w:val="26"/>
          <w:u w:val="single"/>
        </w:rPr>
        <w:t>Este cambio de criterio pone en riesgo el principio de división de poderes al sujetar a escrutinio judicial actos de carácter político y parlamentario atinentes exclusivamente a la esfera competencial de integración, organización y funcionamiento internos de los órganos plenarios y de gobierno del Poder Legislativo Federal</w:t>
      </w:r>
      <w:r w:rsidRPr="00E51638">
        <w:rPr>
          <w:i/>
          <w:iCs/>
          <w:color w:val="000000" w:themeColor="text1"/>
          <w:sz w:val="26"/>
          <w:szCs w:val="26"/>
        </w:rPr>
        <w:t>. Ante este contexto, es pertinente considerar que el diseño de los mecanismos de solución de demandas, han priorizado el equilibrio en determinados roles que se organizan para reproducir las interacciones representadas en los órganos legítimos.</w:t>
      </w:r>
    </w:p>
    <w:p w14:paraId="79740EAD" w14:textId="3582EB58" w:rsidR="0037743D" w:rsidRPr="00E51638" w:rsidRDefault="0037743D" w:rsidP="00E2629A">
      <w:pPr>
        <w:spacing w:before="120" w:after="240"/>
        <w:ind w:left="709" w:right="567"/>
        <w:rPr>
          <w:color w:val="000000" w:themeColor="text1"/>
          <w:sz w:val="26"/>
          <w:szCs w:val="26"/>
        </w:rPr>
      </w:pPr>
      <w:r w:rsidRPr="00E51638">
        <w:rPr>
          <w:i/>
          <w:iCs/>
          <w:color w:val="000000" w:themeColor="text1"/>
          <w:sz w:val="26"/>
          <w:szCs w:val="26"/>
        </w:rPr>
        <w:t>En estos términos, el principio de división de poderes se impone a todos los poderes y órganos del Estado mexicano en forma directa, y reconociendo que en virtud del régimen expreso que rige el ejercicio de las facultades y atribuciones de los poderes federales, deriva de forma implícita la prohibición de que se prive a los mismos de ejercerlas, por lo que resulta indispensable que se garantice que cada poder goce de plena independencia con relación a las materias que la Constitución les confiere y reserva, a efecto de que se hallen en todo momento en la aptitud para ser autosuficientes con relación al ejercicio de sus atribuciones, en el sentido de que puedan actuar, emitir sus determinaciones y estar en condiciones de hacerlas cumplir sin que dichas actividades se vean entorpecidas por indebidas intromisiones de parte de otros poderes u órganos</w:t>
      </w:r>
      <w:r w:rsidR="00E2629A" w:rsidRPr="00E51638">
        <w:rPr>
          <w:color w:val="000000" w:themeColor="text1"/>
          <w:sz w:val="26"/>
          <w:szCs w:val="26"/>
        </w:rPr>
        <w:t>”</w:t>
      </w:r>
      <w:r w:rsidRPr="00E51638">
        <w:rPr>
          <w:color w:val="000000" w:themeColor="text1"/>
          <w:sz w:val="26"/>
          <w:szCs w:val="26"/>
        </w:rPr>
        <w:t>.</w:t>
      </w:r>
    </w:p>
    <w:p w14:paraId="74640692" w14:textId="645D0C27" w:rsidR="0037743D" w:rsidRPr="00E51638" w:rsidRDefault="0037743D" w:rsidP="00E2629A">
      <w:pPr>
        <w:pStyle w:val="Prrafo"/>
        <w:numPr>
          <w:ilvl w:val="0"/>
          <w:numId w:val="6"/>
        </w:numPr>
        <w:ind w:left="0" w:hanging="709"/>
        <w:rPr>
          <w:color w:val="000000" w:themeColor="text1"/>
        </w:rPr>
      </w:pPr>
      <w:r w:rsidRPr="00E51638">
        <w:rPr>
          <w:color w:val="000000" w:themeColor="text1"/>
        </w:rPr>
        <w:t xml:space="preserve">De los antecedentes legislativos transcritos es posible advertir que la intención del </w:t>
      </w:r>
      <w:r w:rsidR="00B571E9" w:rsidRPr="00E51638">
        <w:rPr>
          <w:color w:val="000000" w:themeColor="text1"/>
        </w:rPr>
        <w:t xml:space="preserve">Legislador Federal </w:t>
      </w:r>
      <w:r w:rsidRPr="00E51638">
        <w:rPr>
          <w:color w:val="000000" w:themeColor="text1"/>
        </w:rPr>
        <w:t xml:space="preserve">fue preservar el respeto al </w:t>
      </w:r>
      <w:r w:rsidRPr="00E51638">
        <w:rPr>
          <w:i/>
          <w:iCs/>
          <w:color w:val="000000" w:themeColor="text1"/>
        </w:rPr>
        <w:t>principio de división de poderes</w:t>
      </w:r>
      <w:r w:rsidRPr="00E51638">
        <w:rPr>
          <w:color w:val="000000" w:themeColor="text1"/>
        </w:rPr>
        <w:t>, manteniendo libre del escrutinio jurisdiccional electoral una serie de actos emitidos por las Cámaras de la Unión, por sí o a través de sus órganos internos o subordinados, por considerar que estos son regidos por el Derecho Parlamentario al revestir carácter meramente político o interno.</w:t>
      </w:r>
    </w:p>
    <w:p w14:paraId="7152F5C6" w14:textId="6A158AE4" w:rsidR="00D2740E" w:rsidRPr="00E51638" w:rsidRDefault="005B436E" w:rsidP="00400885">
      <w:pPr>
        <w:pStyle w:val="Prrafo"/>
        <w:numPr>
          <w:ilvl w:val="0"/>
          <w:numId w:val="6"/>
        </w:numPr>
        <w:ind w:left="0" w:hanging="709"/>
        <w:rPr>
          <w:color w:val="000000" w:themeColor="text1"/>
        </w:rPr>
      </w:pPr>
      <w:r w:rsidRPr="00E51638">
        <w:rPr>
          <w:color w:val="000000" w:themeColor="text1"/>
        </w:rPr>
        <w:lastRenderedPageBreak/>
        <w:t xml:space="preserve">Ahora bien, en virtud de la redacción de la norma finalmente aprobada y lo sostenido en la exposición de motivos de la iniciativa legislativa, es posible </w:t>
      </w:r>
      <w:r w:rsidR="00EB60E6" w:rsidRPr="00E51638">
        <w:rPr>
          <w:color w:val="000000" w:themeColor="text1"/>
        </w:rPr>
        <w:t xml:space="preserve">apreciar que la norma impugnada </w:t>
      </w:r>
      <w:r w:rsidRPr="00E51638">
        <w:rPr>
          <w:color w:val="000000" w:themeColor="text1"/>
        </w:rPr>
        <w:t>contiene dos enunciados normativos: en el primero, se expresa que los medios de impugnación electorales son improcedentes para combatir cualquier acto parlamentario del Congreso de la Unión, su Comisión Permanente o cualquiera de sus Cámaras, que haya sido emitido por sus órganos de gobierno; después, unidos con el adverbio “</w:t>
      </w:r>
      <w:r w:rsidRPr="00E51638">
        <w:rPr>
          <w:i/>
          <w:iCs/>
          <w:color w:val="000000" w:themeColor="text1"/>
        </w:rPr>
        <w:t>como</w:t>
      </w:r>
      <w:r w:rsidRPr="00E51638">
        <w:rPr>
          <w:color w:val="000000" w:themeColor="text1"/>
        </w:rPr>
        <w:t>”</w:t>
      </w:r>
      <w:r w:rsidRPr="00E51638">
        <w:rPr>
          <w:rStyle w:val="Refdenotaalpie"/>
          <w:color w:val="000000" w:themeColor="text1"/>
        </w:rPr>
        <w:footnoteReference w:id="75"/>
      </w:r>
      <w:r w:rsidR="00D2740E" w:rsidRPr="00E51638">
        <w:rPr>
          <w:color w:val="000000" w:themeColor="text1"/>
        </w:rPr>
        <w:t>,</w:t>
      </w:r>
      <w:r w:rsidRPr="00E51638">
        <w:rPr>
          <w:color w:val="000000" w:themeColor="text1"/>
        </w:rPr>
        <w:t xml:space="preserve"> se sigue que un ejemplo de esos actos parlamentarios</w:t>
      </w:r>
      <w:r w:rsidR="00155576" w:rsidRPr="00E51638">
        <w:rPr>
          <w:color w:val="000000" w:themeColor="text1"/>
        </w:rPr>
        <w:t xml:space="preserve"> lo es cuando se trate de la integración, organización y funcionamiento internos de sus órganos y comisiones legislativas</w:t>
      </w:r>
      <w:r w:rsidR="00D17180" w:rsidRPr="00E51638">
        <w:rPr>
          <w:color w:val="000000" w:themeColor="text1"/>
        </w:rPr>
        <w:t xml:space="preserve">. </w:t>
      </w:r>
    </w:p>
    <w:p w14:paraId="682842F4" w14:textId="2A47F459" w:rsidR="005B436E" w:rsidRPr="00E51638" w:rsidRDefault="00400885" w:rsidP="005B436E">
      <w:pPr>
        <w:pStyle w:val="Prrafo"/>
        <w:numPr>
          <w:ilvl w:val="0"/>
          <w:numId w:val="6"/>
        </w:numPr>
        <w:ind w:left="0" w:hanging="709"/>
        <w:rPr>
          <w:color w:val="000000" w:themeColor="text1"/>
        </w:rPr>
      </w:pPr>
      <w:r w:rsidRPr="00E51638">
        <w:rPr>
          <w:color w:val="000000" w:themeColor="text1"/>
        </w:rPr>
        <w:t>Como se puede advertir</w:t>
      </w:r>
      <w:r w:rsidR="00D2740E" w:rsidRPr="00E51638">
        <w:rPr>
          <w:color w:val="000000" w:themeColor="text1"/>
        </w:rPr>
        <w:t xml:space="preserve">, la causal de improcedencia está redactada en términos absolutos para hacer irrecurrible cualquier acto parlamentario del </w:t>
      </w:r>
      <w:r w:rsidR="009A2CC2" w:rsidRPr="00E51638">
        <w:rPr>
          <w:color w:val="000000" w:themeColor="text1"/>
        </w:rPr>
        <w:t>C</w:t>
      </w:r>
      <w:r w:rsidR="00D2740E" w:rsidRPr="00E51638">
        <w:rPr>
          <w:color w:val="000000" w:themeColor="text1"/>
        </w:rPr>
        <w:t>ongreso de la Unión, como lo podría ser —de forma ejemplificativa y no limitativa— aquellos concernientes a la integración, organización y funcionamiento interno de los órganos y comisiones legislativas.</w:t>
      </w:r>
    </w:p>
    <w:p w14:paraId="5B8375B3" w14:textId="3531FCF9" w:rsidR="00EE75BB" w:rsidRPr="00E51638" w:rsidRDefault="0020252B" w:rsidP="001D6F13">
      <w:pPr>
        <w:pStyle w:val="Prrafo"/>
        <w:numPr>
          <w:ilvl w:val="0"/>
          <w:numId w:val="6"/>
        </w:numPr>
        <w:ind w:left="0" w:hanging="709"/>
        <w:rPr>
          <w:color w:val="000000" w:themeColor="text1"/>
        </w:rPr>
      </w:pPr>
      <w:r w:rsidRPr="00E51638">
        <w:rPr>
          <w:color w:val="000000" w:themeColor="text1"/>
        </w:rPr>
        <w:t xml:space="preserve">Al respecto, </w:t>
      </w:r>
      <w:r w:rsidR="000D5A45" w:rsidRPr="00E51638">
        <w:rPr>
          <w:color w:val="000000" w:themeColor="text1"/>
        </w:rPr>
        <w:t>esta</w:t>
      </w:r>
      <w:r w:rsidR="00DD12CB" w:rsidRPr="00E51638">
        <w:rPr>
          <w:color w:val="000000" w:themeColor="text1"/>
        </w:rPr>
        <w:t xml:space="preserve"> Suprema Corte de Justicia de la Nación advierte que </w:t>
      </w:r>
      <w:r w:rsidR="00DD12CB" w:rsidRPr="00E51638">
        <w:rPr>
          <w:b/>
          <w:bCs/>
          <w:color w:val="000000" w:themeColor="text1"/>
          <w:u w:val="single"/>
        </w:rPr>
        <w:t>la norma impugnada es inconstitucional</w:t>
      </w:r>
      <w:r w:rsidR="00EE75BB" w:rsidRPr="00E51638">
        <w:rPr>
          <w:b/>
          <w:bCs/>
          <w:color w:val="000000" w:themeColor="text1"/>
          <w:u w:val="single"/>
        </w:rPr>
        <w:t>, pues vulnera el derecho de los parlamentarios a contar con un recurso efectivo</w:t>
      </w:r>
      <w:r w:rsidR="00EE75BB" w:rsidRPr="00E51638">
        <w:rPr>
          <w:color w:val="000000" w:themeColor="text1"/>
        </w:rPr>
        <w:t xml:space="preserve"> que les permita acudir a la jurisdicción electoral federal para que se proteja su derecho de acceso y desempeño de los cargos públicos.</w:t>
      </w:r>
    </w:p>
    <w:p w14:paraId="2B7CD469" w14:textId="288ECEFF" w:rsidR="00EE75BB" w:rsidRPr="00E51638" w:rsidRDefault="00EE75BB" w:rsidP="005E041F">
      <w:pPr>
        <w:pStyle w:val="Prrafo"/>
        <w:numPr>
          <w:ilvl w:val="0"/>
          <w:numId w:val="6"/>
        </w:numPr>
        <w:ind w:left="0" w:hanging="709"/>
        <w:rPr>
          <w:color w:val="000000" w:themeColor="text1"/>
        </w:rPr>
      </w:pPr>
      <w:r w:rsidRPr="00E51638">
        <w:rPr>
          <w:color w:val="000000" w:themeColor="text1"/>
        </w:rPr>
        <w:t xml:space="preserve">Como se indicó en páginas previas, el derecho de tutela judicial efectiva no es absoluto y, por el contrario, la jurisprudencia de esta Suprema Corte de Justicia de la Nación </w:t>
      </w:r>
      <w:r w:rsidR="00B571E9" w:rsidRPr="00E51638">
        <w:rPr>
          <w:color w:val="000000" w:themeColor="text1"/>
        </w:rPr>
        <w:t xml:space="preserve">y de la Corte Interamericana de Derechos Humanos </w:t>
      </w:r>
      <w:r w:rsidRPr="00E51638">
        <w:rPr>
          <w:color w:val="000000" w:themeColor="text1"/>
        </w:rPr>
        <w:t xml:space="preserve">permite que el legislador establezca una serie de requisitos de procedencia, siempre y cuando sean </w:t>
      </w:r>
      <w:r w:rsidR="0016693F" w:rsidRPr="00E51638">
        <w:rPr>
          <w:color w:val="000000" w:themeColor="text1"/>
        </w:rPr>
        <w:t>razonables, proporcionales y no hagan nugatorio el derecho de acceso a la justicia de las personas.</w:t>
      </w:r>
    </w:p>
    <w:p w14:paraId="6BAAE52A" w14:textId="1104BD45" w:rsidR="0016693F" w:rsidRPr="00E51638" w:rsidRDefault="0016693F" w:rsidP="005E041F">
      <w:pPr>
        <w:pStyle w:val="Prrafo"/>
        <w:numPr>
          <w:ilvl w:val="0"/>
          <w:numId w:val="6"/>
        </w:numPr>
        <w:ind w:left="0" w:hanging="709"/>
        <w:rPr>
          <w:color w:val="000000" w:themeColor="text1"/>
        </w:rPr>
      </w:pPr>
      <w:r w:rsidRPr="00E51638">
        <w:rPr>
          <w:color w:val="000000" w:themeColor="text1"/>
        </w:rPr>
        <w:t xml:space="preserve">En este caso, se considera que </w:t>
      </w:r>
      <w:r w:rsidRPr="00E51638">
        <w:rPr>
          <w:color w:val="000000" w:themeColor="text1"/>
          <w:u w:val="single"/>
        </w:rPr>
        <w:t>la norma impugnada no cumple con este estándar de validez</w:t>
      </w:r>
      <w:r w:rsidRPr="00E51638">
        <w:rPr>
          <w:color w:val="000000" w:themeColor="text1"/>
        </w:rPr>
        <w:t xml:space="preserve">, pues se trata de un requisito de procedencia formulado en </w:t>
      </w:r>
      <w:r w:rsidRPr="00E51638">
        <w:rPr>
          <w:color w:val="000000" w:themeColor="text1"/>
        </w:rPr>
        <w:lastRenderedPageBreak/>
        <w:t>términos absolutos y sobre-inclusivos, ya que veda en forma tajante la procedencia de los medios de impugnación de la jurisdicción del Tribunal Electoral sobre cualquier acto parlamentario, sin distinguir entre aquellos actos que responden a razonamiento</w:t>
      </w:r>
      <w:r w:rsidR="00257EAB" w:rsidRPr="00E51638">
        <w:rPr>
          <w:color w:val="000000" w:themeColor="text1"/>
        </w:rPr>
        <w:t>s</w:t>
      </w:r>
      <w:r w:rsidRPr="00E51638">
        <w:rPr>
          <w:color w:val="000000" w:themeColor="text1"/>
        </w:rPr>
        <w:t xml:space="preserve"> eminentemente discrecionales y políticos</w:t>
      </w:r>
      <w:r w:rsidR="005271A3" w:rsidRPr="00E51638">
        <w:rPr>
          <w:color w:val="000000" w:themeColor="text1"/>
        </w:rPr>
        <w:t xml:space="preserve"> (producto de una habilitación constitucional)</w:t>
      </w:r>
      <w:r w:rsidRPr="00E51638">
        <w:rPr>
          <w:color w:val="000000" w:themeColor="text1"/>
        </w:rPr>
        <w:t xml:space="preserve"> </w:t>
      </w:r>
      <w:r w:rsidR="00257EAB" w:rsidRPr="00E51638">
        <w:rPr>
          <w:color w:val="000000" w:themeColor="text1"/>
        </w:rPr>
        <w:t>de aquellos que son eminentemente</w:t>
      </w:r>
      <w:r w:rsidRPr="00E51638">
        <w:rPr>
          <w:color w:val="000000" w:themeColor="text1"/>
        </w:rPr>
        <w:t xml:space="preserve"> actos jurídicos.</w:t>
      </w:r>
    </w:p>
    <w:p w14:paraId="739DF3C7" w14:textId="39073702" w:rsidR="0016693F" w:rsidRPr="00E51638" w:rsidRDefault="0016693F" w:rsidP="005E041F">
      <w:pPr>
        <w:pStyle w:val="Prrafo"/>
        <w:numPr>
          <w:ilvl w:val="0"/>
          <w:numId w:val="6"/>
        </w:numPr>
        <w:ind w:left="0" w:hanging="709"/>
        <w:rPr>
          <w:color w:val="000000" w:themeColor="text1"/>
        </w:rPr>
      </w:pPr>
      <w:r w:rsidRPr="00E51638">
        <w:rPr>
          <w:color w:val="000000" w:themeColor="text1"/>
        </w:rPr>
        <w:t>Además, esta causal de improcedencia genera que las personas parlamentarias —diputadas y senadoras— no cuenten con un recurso efectivo que les permita defenderse de las decisiones de las autoridades y órganos de las Cámaras del Congreso de la Unión que pudieran lesionar sus derechos fundamentales, específicamente los de participación política y acceso y desempeño de la función parlamentaria.</w:t>
      </w:r>
    </w:p>
    <w:p w14:paraId="082DFDA5" w14:textId="74AC74EA" w:rsidR="00374FF7" w:rsidRPr="00E51638" w:rsidRDefault="0093447A" w:rsidP="00374FF7">
      <w:pPr>
        <w:pStyle w:val="Prrafo"/>
        <w:numPr>
          <w:ilvl w:val="0"/>
          <w:numId w:val="6"/>
        </w:numPr>
        <w:ind w:left="0" w:hanging="709"/>
        <w:rPr>
          <w:color w:val="000000" w:themeColor="text1"/>
        </w:rPr>
      </w:pPr>
      <w:r w:rsidRPr="00E51638">
        <w:rPr>
          <w:color w:val="000000" w:themeColor="text1"/>
        </w:rPr>
        <w:t xml:space="preserve">Debe recordarse, como se refirió en páginas previas, que </w:t>
      </w:r>
      <w:r w:rsidR="00AB2AF6" w:rsidRPr="00E51638">
        <w:rPr>
          <w:color w:val="000000" w:themeColor="text1"/>
        </w:rPr>
        <w:t xml:space="preserve">el </w:t>
      </w:r>
      <w:r w:rsidR="00374FF7" w:rsidRPr="00E51638">
        <w:rPr>
          <w:color w:val="000000" w:themeColor="text1"/>
        </w:rPr>
        <w:t>artículo 35, fracciones II y VI, de la Constitución Política reconoce el derecho de la ciudadanía mexicana de ser votada en elecciones populares y de acceder a la función pública en condiciones de igualdad</w:t>
      </w:r>
      <w:r w:rsidR="00D17180" w:rsidRPr="00E51638">
        <w:rPr>
          <w:color w:val="000000" w:themeColor="text1"/>
        </w:rPr>
        <w:t xml:space="preserve">. </w:t>
      </w:r>
      <w:r w:rsidR="00374FF7" w:rsidRPr="00E51638">
        <w:rPr>
          <w:color w:val="000000" w:themeColor="text1"/>
        </w:rPr>
        <w:t xml:space="preserve">Estos dos derechos —que por mandato del </w:t>
      </w:r>
      <w:r w:rsidR="00283F5D">
        <w:rPr>
          <w:color w:val="000000" w:themeColor="text1"/>
        </w:rPr>
        <w:t>diverso</w:t>
      </w:r>
      <w:r w:rsidR="00374FF7" w:rsidRPr="00E51638">
        <w:rPr>
          <w:color w:val="000000" w:themeColor="text1"/>
        </w:rPr>
        <w:t xml:space="preserve"> 1º constitucional son interdependientes y están interrelacionados— deben ser entendidos en el sentido de que </w:t>
      </w:r>
      <w:r w:rsidR="00374FF7" w:rsidRPr="00E51638">
        <w:rPr>
          <w:b/>
          <w:bCs/>
          <w:color w:val="000000" w:themeColor="text1"/>
          <w:u w:val="single"/>
        </w:rPr>
        <w:t>el derecho a ser votado en elecciones democráticas implica, necesariamente, el derecho a mantenerse en el cargo y a desempeñarlo de acuerdo con lo previsto en la Constitución y leyes secundarias</w:t>
      </w:r>
      <w:r w:rsidR="00374FF7" w:rsidRPr="00E51638">
        <w:rPr>
          <w:color w:val="000000" w:themeColor="text1"/>
        </w:rPr>
        <w:t>.</w:t>
      </w:r>
    </w:p>
    <w:p w14:paraId="2007999B" w14:textId="7DDDA886" w:rsidR="00374FF7" w:rsidRPr="00E51638" w:rsidRDefault="00374FF7" w:rsidP="00374FF7">
      <w:pPr>
        <w:pStyle w:val="Prrafo"/>
        <w:numPr>
          <w:ilvl w:val="0"/>
          <w:numId w:val="6"/>
        </w:numPr>
        <w:ind w:left="0" w:hanging="709"/>
        <w:rPr>
          <w:color w:val="000000" w:themeColor="text1"/>
        </w:rPr>
      </w:pPr>
      <w:r w:rsidRPr="00E51638">
        <w:rPr>
          <w:color w:val="000000" w:themeColor="text1"/>
        </w:rPr>
        <w:t xml:space="preserve">Esto significa que </w:t>
      </w:r>
      <w:r w:rsidRPr="00E51638">
        <w:rPr>
          <w:b/>
          <w:bCs/>
          <w:color w:val="000000" w:themeColor="text1"/>
          <w:u w:val="single"/>
        </w:rPr>
        <w:t>los derechos de participación política del artículo 35 constitucional no garantizan únicamente el acceso en condiciones de igualdad a los cargos públicos, sino también que quienes hayan accedido a esos cargos se mantengan en ellos sin perturbaciones ilegítimas y puedan desempeñarlos de conformidad con las leyes correspondientes</w:t>
      </w:r>
      <w:r w:rsidRPr="00E51638">
        <w:rPr>
          <w:color w:val="000000" w:themeColor="text1"/>
        </w:rPr>
        <w:t xml:space="preserve">; pues de no ser así, los derechos de participación política carecerían de eficacia y harían que la democracia representativa fuera ilusoria. </w:t>
      </w:r>
    </w:p>
    <w:p w14:paraId="0FF71588" w14:textId="4C442E18" w:rsidR="00D3086C" w:rsidRPr="00E51638" w:rsidRDefault="00D3086C" w:rsidP="00D3086C">
      <w:pPr>
        <w:pStyle w:val="Prrafo"/>
        <w:numPr>
          <w:ilvl w:val="0"/>
          <w:numId w:val="6"/>
        </w:numPr>
        <w:ind w:left="0" w:hanging="709"/>
        <w:rPr>
          <w:color w:val="000000" w:themeColor="text1"/>
        </w:rPr>
      </w:pPr>
      <w:r w:rsidRPr="00E51638">
        <w:rPr>
          <w:color w:val="000000" w:themeColor="text1"/>
        </w:rPr>
        <w:t xml:space="preserve">En el caso de los órganos parlamentarios (Congreso de la Unión y sus Cámaras de Diputados y Senadores, así como legislaturas estatales), el derecho a ser </w:t>
      </w:r>
      <w:r w:rsidRPr="00E51638">
        <w:rPr>
          <w:color w:val="000000" w:themeColor="text1"/>
        </w:rPr>
        <w:lastRenderedPageBreak/>
        <w:t>votado y a desempeñar el cargo público implica, a su vez, que se proteja en núcleo esencial de la función representativa (</w:t>
      </w:r>
      <w:r w:rsidRPr="00E51638">
        <w:rPr>
          <w:i/>
          <w:iCs/>
          <w:color w:val="000000" w:themeColor="text1"/>
        </w:rPr>
        <w:t>ius in officium</w:t>
      </w:r>
      <w:r w:rsidRPr="00E51638">
        <w:rPr>
          <w:color w:val="000000" w:themeColor="text1"/>
        </w:rPr>
        <w:t>), es decir, que se preserven las facultades de los parlamentarios para ejercer su encargo sin obstrucciones ilegítimas o indebidas.</w:t>
      </w:r>
    </w:p>
    <w:p w14:paraId="6EA91A9E" w14:textId="4B0D9C9B" w:rsidR="00D3086C" w:rsidRPr="00E51638" w:rsidRDefault="00D3086C" w:rsidP="00D3086C">
      <w:pPr>
        <w:pStyle w:val="Prrafo"/>
        <w:numPr>
          <w:ilvl w:val="0"/>
          <w:numId w:val="6"/>
        </w:numPr>
        <w:ind w:left="0" w:hanging="709"/>
        <w:rPr>
          <w:color w:val="000000" w:themeColor="text1"/>
        </w:rPr>
      </w:pPr>
      <w:r w:rsidRPr="00E51638">
        <w:rPr>
          <w:color w:val="000000" w:themeColor="text1"/>
        </w:rPr>
        <w:t xml:space="preserve">Como se puede apreciar de la norma </w:t>
      </w:r>
      <w:r w:rsidR="00862395" w:rsidRPr="00E51638">
        <w:rPr>
          <w:color w:val="000000" w:themeColor="text1"/>
        </w:rPr>
        <w:t>controvertida</w:t>
      </w:r>
      <w:r w:rsidRPr="00E51638">
        <w:rPr>
          <w:color w:val="000000" w:themeColor="text1"/>
        </w:rPr>
        <w:t xml:space="preserve">, </w:t>
      </w:r>
      <w:r w:rsidR="00FA45C3" w:rsidRPr="00E51638">
        <w:rPr>
          <w:color w:val="000000" w:themeColor="text1"/>
        </w:rPr>
        <w:t>el Congreso de la Unión estableció un límite a la jurisdicción del Tribunal Electoral del Poder Judicial de la Federación para impedirle conocer de la impugnación de actos parlamentarios sin rango de Ley</w:t>
      </w:r>
      <w:r w:rsidR="008C1DD2" w:rsidRPr="00E51638">
        <w:rPr>
          <w:color w:val="000000" w:themeColor="text1"/>
        </w:rPr>
        <w:t>,</w:t>
      </w:r>
      <w:r w:rsidR="008C6DB9" w:rsidRPr="00E51638">
        <w:rPr>
          <w:color w:val="000000" w:themeColor="text1"/>
        </w:rPr>
        <w:t xml:space="preserve"> en forma absoluta, de manera que </w:t>
      </w:r>
      <w:r w:rsidR="008C6DB9" w:rsidRPr="00E51638">
        <w:rPr>
          <w:b/>
          <w:bCs/>
          <w:color w:val="000000" w:themeColor="text1"/>
          <w:u w:val="single"/>
        </w:rPr>
        <w:t xml:space="preserve">las personas diputadas y senadoras del Congreso de la Unión no cuentan con algún recurso efectivo que les permita acudir a un Tribunal para que repare alguna eventual y supuesta lesión a sus derechos de acceso y desempeño del cargo representativo, cuando el órgano o autoridad responsable sea </w:t>
      </w:r>
      <w:r w:rsidR="00EF7A17" w:rsidRPr="00E51638">
        <w:rPr>
          <w:b/>
          <w:bCs/>
          <w:color w:val="000000" w:themeColor="text1"/>
          <w:u w:val="single"/>
        </w:rPr>
        <w:t>intraparlamentario</w:t>
      </w:r>
      <w:r w:rsidR="00EF7A17" w:rsidRPr="00E51638">
        <w:rPr>
          <w:color w:val="000000" w:themeColor="text1"/>
        </w:rPr>
        <w:t>.</w:t>
      </w:r>
    </w:p>
    <w:p w14:paraId="38C6B757" w14:textId="5B9048E0" w:rsidR="003A592C" w:rsidRPr="00E51638" w:rsidRDefault="003A592C" w:rsidP="00D3086C">
      <w:pPr>
        <w:pStyle w:val="Prrafo"/>
        <w:numPr>
          <w:ilvl w:val="0"/>
          <w:numId w:val="6"/>
        </w:numPr>
        <w:ind w:left="0" w:hanging="709"/>
        <w:rPr>
          <w:color w:val="000000" w:themeColor="text1"/>
        </w:rPr>
      </w:pPr>
      <w:r w:rsidRPr="00E51638">
        <w:rPr>
          <w:color w:val="000000" w:themeColor="text1"/>
        </w:rPr>
        <w:t>Por este motivo, si se impide que las personas diputadas y senadoras del Congreso de la Unión cuenten con un recurso de defensa de los actos intraparlamentarios que afecten su derecho a ejercer el cargo público representativo, es evidente que la norma impugnada hace que el derecho a ser votado para un cargo parlamentario se torne ilusorio y se vacíe de contenido.</w:t>
      </w:r>
    </w:p>
    <w:p w14:paraId="30D618AB" w14:textId="68B37C91" w:rsidR="009F583D" w:rsidRPr="00E51638" w:rsidRDefault="005271A3" w:rsidP="009F583D">
      <w:pPr>
        <w:pStyle w:val="Prrafo"/>
        <w:numPr>
          <w:ilvl w:val="0"/>
          <w:numId w:val="6"/>
        </w:numPr>
        <w:ind w:left="0" w:hanging="709"/>
        <w:rPr>
          <w:color w:val="000000" w:themeColor="text1"/>
        </w:rPr>
      </w:pPr>
      <w:r w:rsidRPr="00E51638">
        <w:rPr>
          <w:color w:val="000000" w:themeColor="text1"/>
        </w:rPr>
        <w:t>De acuerdo con lo pre</w:t>
      </w:r>
      <w:r w:rsidR="00E369B1">
        <w:rPr>
          <w:color w:val="000000" w:themeColor="text1"/>
        </w:rPr>
        <w:t>v</w:t>
      </w:r>
      <w:r w:rsidRPr="00E51638">
        <w:rPr>
          <w:color w:val="000000" w:themeColor="text1"/>
        </w:rPr>
        <w:t>isto en el artículo 99</w:t>
      </w:r>
      <w:r w:rsidR="009F583D" w:rsidRPr="00E51638">
        <w:rPr>
          <w:color w:val="000000" w:themeColor="text1"/>
        </w:rPr>
        <w:t>, párrafo cuarto, inciso V,</w:t>
      </w:r>
      <w:r w:rsidRPr="00E51638">
        <w:rPr>
          <w:color w:val="000000" w:themeColor="text1"/>
        </w:rPr>
        <w:t xml:space="preserve"> de la Constitución General</w:t>
      </w:r>
      <w:r w:rsidR="009F583D" w:rsidRPr="00E51638">
        <w:rPr>
          <w:rStyle w:val="Refdenotaalpie"/>
          <w:color w:val="000000" w:themeColor="text1"/>
        </w:rPr>
        <w:footnoteReference w:id="76"/>
      </w:r>
      <w:r w:rsidRPr="00E51638">
        <w:rPr>
          <w:color w:val="000000" w:themeColor="text1"/>
        </w:rPr>
        <w:t xml:space="preserve">, </w:t>
      </w:r>
      <w:r w:rsidR="009F583D" w:rsidRPr="00E51638">
        <w:rPr>
          <w:color w:val="000000" w:themeColor="text1"/>
        </w:rPr>
        <w:t xml:space="preserve">con excepción de las acciones de inconstitucionalidad competencia de esta Suprema Corte, el Tribunal Electoral del Poder Judicial de la Federación es la máxima autoridad jurisdiccional en la materia, a quien </w:t>
      </w:r>
      <w:r w:rsidR="009F583D" w:rsidRPr="00E51638">
        <w:rPr>
          <w:color w:val="000000" w:themeColor="text1"/>
          <w:u w:val="single"/>
        </w:rPr>
        <w:t xml:space="preserve">le corresponde resolver en forma definitiva e inatacable, entre otras, las </w:t>
      </w:r>
      <w:r w:rsidR="009F583D" w:rsidRPr="00E51638">
        <w:rPr>
          <w:color w:val="000000" w:themeColor="text1"/>
          <w:u w:val="single"/>
        </w:rPr>
        <w:lastRenderedPageBreak/>
        <w:t>impugnaciones de actos y resoluciones que violen los derechos político-electorales de los ciudadanos de votar y ser votado.</w:t>
      </w:r>
    </w:p>
    <w:p w14:paraId="7F360E28" w14:textId="7F8D08F4" w:rsidR="00D952CB" w:rsidRPr="00E51638" w:rsidRDefault="009F583D" w:rsidP="00D952CB">
      <w:pPr>
        <w:pStyle w:val="Prrafo"/>
        <w:numPr>
          <w:ilvl w:val="0"/>
          <w:numId w:val="6"/>
        </w:numPr>
        <w:ind w:left="0" w:hanging="709"/>
        <w:rPr>
          <w:color w:val="000000" w:themeColor="text1"/>
        </w:rPr>
      </w:pPr>
      <w:r w:rsidRPr="00E51638">
        <w:rPr>
          <w:color w:val="000000" w:themeColor="text1"/>
        </w:rPr>
        <w:t xml:space="preserve">En este sentido, </w:t>
      </w:r>
      <w:r w:rsidR="0001367B" w:rsidRPr="00E51638">
        <w:rPr>
          <w:color w:val="000000" w:themeColor="text1"/>
        </w:rPr>
        <w:t xml:space="preserve">la Constitución no establece en el artículo 99 que </w:t>
      </w:r>
      <w:r w:rsidR="00E929E3" w:rsidRPr="00E51638">
        <w:rPr>
          <w:color w:val="000000" w:themeColor="text1"/>
        </w:rPr>
        <w:t xml:space="preserve">el Tribunal Electoral del Poder Judicial de la Federación deba abstenerse de ejercer control judicial respecto de los actos intraparlamentarios. </w:t>
      </w:r>
    </w:p>
    <w:p w14:paraId="4B7EE765" w14:textId="630AADF9" w:rsidR="00C00547" w:rsidRPr="00E51638" w:rsidRDefault="00E51A46" w:rsidP="00C00547">
      <w:pPr>
        <w:pStyle w:val="Prrafo"/>
        <w:numPr>
          <w:ilvl w:val="0"/>
          <w:numId w:val="6"/>
        </w:numPr>
        <w:ind w:left="0" w:hanging="709"/>
        <w:rPr>
          <w:color w:val="000000" w:themeColor="text1"/>
        </w:rPr>
      </w:pPr>
      <w:r w:rsidRPr="00E51638">
        <w:rPr>
          <w:color w:val="000000" w:themeColor="text1"/>
        </w:rPr>
        <w:t xml:space="preserve">No pasa </w:t>
      </w:r>
      <w:r w:rsidR="00F623F3">
        <w:rPr>
          <w:color w:val="000000" w:themeColor="text1"/>
        </w:rPr>
        <w:t>inadvertido</w:t>
      </w:r>
      <w:r w:rsidRPr="00E51638">
        <w:rPr>
          <w:color w:val="000000" w:themeColor="text1"/>
        </w:rPr>
        <w:t xml:space="preserve"> </w:t>
      </w:r>
      <w:r w:rsidR="009077A2" w:rsidRPr="00E51638">
        <w:rPr>
          <w:color w:val="000000" w:themeColor="text1"/>
        </w:rPr>
        <w:t>para este Tribunal Pleno que en la exposición de motivos de la in</w:t>
      </w:r>
      <w:r w:rsidR="00F623F3">
        <w:rPr>
          <w:color w:val="000000" w:themeColor="text1"/>
        </w:rPr>
        <w:t>i</w:t>
      </w:r>
      <w:r w:rsidR="009077A2" w:rsidRPr="00E51638">
        <w:rPr>
          <w:color w:val="000000" w:themeColor="text1"/>
        </w:rPr>
        <w:t xml:space="preserve">ciativa de adición, el Congreso de la Unión refiere que </w:t>
      </w:r>
      <w:r w:rsidR="00C00547" w:rsidRPr="00E51638">
        <w:rPr>
          <w:color w:val="000000" w:themeColor="text1"/>
        </w:rPr>
        <w:t xml:space="preserve">su intención fue preservar el respeto al </w:t>
      </w:r>
      <w:r w:rsidR="00C00547" w:rsidRPr="00E51638">
        <w:rPr>
          <w:i/>
          <w:iCs/>
          <w:color w:val="000000" w:themeColor="text1"/>
        </w:rPr>
        <w:t>principio de división de poderes</w:t>
      </w:r>
      <w:r w:rsidR="00C00547" w:rsidRPr="00E51638">
        <w:rPr>
          <w:color w:val="000000" w:themeColor="text1"/>
        </w:rPr>
        <w:t>, manteniendo libre del escrutinio jurisdiccional electoral una serie de actos emitidos por las Cámaras de la Unión, por sí o a través de sus órganos internos o subordinados, por considerar que estos son regidos por el Derecho Parlamentario al revestir carácter meramente político o interno.</w:t>
      </w:r>
    </w:p>
    <w:p w14:paraId="5441BAF5" w14:textId="1F43FCA1" w:rsidR="00886E8B" w:rsidRPr="00E51638" w:rsidRDefault="00C00547" w:rsidP="00886E8B">
      <w:pPr>
        <w:pStyle w:val="Prrafo"/>
        <w:numPr>
          <w:ilvl w:val="0"/>
          <w:numId w:val="6"/>
        </w:numPr>
        <w:ind w:left="0" w:hanging="709"/>
        <w:rPr>
          <w:color w:val="000000" w:themeColor="text1"/>
        </w:rPr>
      </w:pPr>
      <w:r w:rsidRPr="00E51638">
        <w:rPr>
          <w:color w:val="000000" w:themeColor="text1"/>
        </w:rPr>
        <w:t xml:space="preserve">Sin embargo, como lo ha sostenido la Primera Sala de esta Suprema Corte en los </w:t>
      </w:r>
      <w:r w:rsidRPr="00E51638">
        <w:rPr>
          <w:i/>
          <w:iCs/>
          <w:color w:val="000000" w:themeColor="text1"/>
        </w:rPr>
        <w:t>amparos en revisión 25/2021</w:t>
      </w:r>
      <w:r w:rsidRPr="00E51638">
        <w:rPr>
          <w:rStyle w:val="Refdenotaalpie"/>
          <w:color w:val="000000" w:themeColor="text1"/>
        </w:rPr>
        <w:footnoteReference w:id="77"/>
      </w:r>
      <w:r w:rsidRPr="00E51638">
        <w:rPr>
          <w:color w:val="000000" w:themeColor="text1"/>
        </w:rPr>
        <w:t xml:space="preserve"> y</w:t>
      </w:r>
      <w:r w:rsidRPr="00E51638">
        <w:rPr>
          <w:i/>
          <w:iCs/>
          <w:color w:val="000000" w:themeColor="text1"/>
        </w:rPr>
        <w:t xml:space="preserve"> 27/2021</w:t>
      </w:r>
      <w:r w:rsidRPr="00E51638">
        <w:rPr>
          <w:rStyle w:val="Refdenotaalpie"/>
          <w:color w:val="000000" w:themeColor="text1"/>
        </w:rPr>
        <w:footnoteReference w:id="78"/>
      </w:r>
      <w:r w:rsidRPr="00E51638">
        <w:rPr>
          <w:color w:val="000000" w:themeColor="text1"/>
        </w:rPr>
        <w:t xml:space="preserve"> —que este Tribunal Pleno comparte—</w:t>
      </w:r>
      <w:r w:rsidR="00886E8B" w:rsidRPr="00E51638">
        <w:rPr>
          <w:color w:val="000000" w:themeColor="text1"/>
        </w:rPr>
        <w:t xml:space="preserve"> </w:t>
      </w:r>
      <w:r w:rsidR="00886E8B" w:rsidRPr="00E51638">
        <w:rPr>
          <w:b/>
          <w:bCs/>
          <w:color w:val="000000" w:themeColor="text1"/>
          <w:u w:val="single"/>
        </w:rPr>
        <w:t xml:space="preserve">la autonomía del Poder Legislativo y la división de poderes no pueden implicar </w:t>
      </w:r>
      <w:r w:rsidR="00C75A83" w:rsidRPr="00E51638">
        <w:rPr>
          <w:b/>
          <w:bCs/>
          <w:color w:val="000000" w:themeColor="text1"/>
          <w:u w:val="single"/>
        </w:rPr>
        <w:t>en</w:t>
      </w:r>
      <w:r w:rsidR="00886E8B" w:rsidRPr="00E51638">
        <w:rPr>
          <w:b/>
          <w:bCs/>
          <w:color w:val="000000" w:themeColor="text1"/>
          <w:u w:val="single"/>
        </w:rPr>
        <w:t xml:space="preserve"> modo</w:t>
      </w:r>
      <w:r w:rsidR="00C75A83" w:rsidRPr="00E51638">
        <w:rPr>
          <w:b/>
          <w:bCs/>
          <w:color w:val="000000" w:themeColor="text1"/>
          <w:u w:val="single"/>
        </w:rPr>
        <w:t xml:space="preserve"> alguno</w:t>
      </w:r>
      <w:r w:rsidR="00886E8B" w:rsidRPr="00E51638">
        <w:rPr>
          <w:b/>
          <w:bCs/>
          <w:color w:val="000000" w:themeColor="text1"/>
          <w:u w:val="single"/>
        </w:rPr>
        <w:t xml:space="preserve"> que la generalidad de los actos internos de este Poder no estén sujetos a la Constitución Federal, pues el Poder Legislativo —como cualquier otro órgano del Estado— siempre estará obligado a cumplir el contenido material de la Constitución</w:t>
      </w:r>
      <w:r w:rsidR="00886E8B" w:rsidRPr="00E51638">
        <w:rPr>
          <w:color w:val="000000" w:themeColor="text1"/>
        </w:rPr>
        <w:t>.</w:t>
      </w:r>
    </w:p>
    <w:p w14:paraId="08E08E03" w14:textId="3EFD608E" w:rsidR="001D4328" w:rsidRPr="00E51638" w:rsidRDefault="001D4328" w:rsidP="00222C50">
      <w:pPr>
        <w:pStyle w:val="Prrafo"/>
        <w:numPr>
          <w:ilvl w:val="0"/>
          <w:numId w:val="6"/>
        </w:numPr>
        <w:ind w:left="0" w:hanging="709"/>
        <w:rPr>
          <w:color w:val="000000" w:themeColor="text1"/>
        </w:rPr>
      </w:pPr>
      <w:r w:rsidRPr="00E51638">
        <w:rPr>
          <w:color w:val="000000" w:themeColor="text1"/>
        </w:rPr>
        <w:t>Como se dijo en páginas previas, la soberanía o poder político reside originalmente en el pueblo, por lo que, de acuerdo con el artículo 39 de la Constitución General</w:t>
      </w:r>
      <w:r w:rsidRPr="00E51638">
        <w:rPr>
          <w:rStyle w:val="Refdenotaalpie"/>
          <w:color w:val="000000" w:themeColor="text1"/>
        </w:rPr>
        <w:footnoteReference w:id="79"/>
      </w:r>
      <w:r w:rsidRPr="00E51638">
        <w:rPr>
          <w:color w:val="000000" w:themeColor="text1"/>
        </w:rPr>
        <w:t xml:space="preserve">, todos los poderes del País se instituyen para beneficio del pueblo mexicano, de manera que la supremacía pertenece al Pueblo </w:t>
      </w:r>
      <w:r w:rsidRPr="00E51638">
        <w:rPr>
          <w:color w:val="000000" w:themeColor="text1"/>
        </w:rPr>
        <w:lastRenderedPageBreak/>
        <w:t>Mexicano quien habla desde la Constitución</w:t>
      </w:r>
      <w:r w:rsidR="00D17180" w:rsidRPr="00E51638">
        <w:rPr>
          <w:color w:val="000000" w:themeColor="text1"/>
        </w:rPr>
        <w:t xml:space="preserve">. </w:t>
      </w:r>
      <w:r w:rsidRPr="00E51638">
        <w:rPr>
          <w:color w:val="000000" w:themeColor="text1"/>
        </w:rPr>
        <w:t xml:space="preserve">En este sentido, </w:t>
      </w:r>
      <w:r w:rsidR="004535FC" w:rsidRPr="00E51638">
        <w:rPr>
          <w:b/>
          <w:bCs/>
          <w:color w:val="000000" w:themeColor="text1"/>
        </w:rPr>
        <w:t xml:space="preserve">ningún órgano del Estado puede estar </w:t>
      </w:r>
      <w:r w:rsidR="00222C50" w:rsidRPr="00E51638">
        <w:rPr>
          <w:b/>
          <w:bCs/>
          <w:color w:val="000000" w:themeColor="text1"/>
        </w:rPr>
        <w:t xml:space="preserve">al margen de la Constitución, ni siquiera bajo el </w:t>
      </w:r>
      <w:r w:rsidR="006441BE" w:rsidRPr="00E51638">
        <w:rPr>
          <w:b/>
          <w:bCs/>
          <w:color w:val="000000" w:themeColor="text1"/>
        </w:rPr>
        <w:t>amparo</w:t>
      </w:r>
      <w:r w:rsidR="00222C50" w:rsidRPr="00E51638">
        <w:rPr>
          <w:b/>
          <w:bCs/>
          <w:color w:val="000000" w:themeColor="text1"/>
        </w:rPr>
        <w:t xml:space="preserve"> del principio de división de poderes</w:t>
      </w:r>
      <w:r w:rsidR="00222C50" w:rsidRPr="00E51638">
        <w:rPr>
          <w:color w:val="000000" w:themeColor="text1"/>
        </w:rPr>
        <w:t>.</w:t>
      </w:r>
    </w:p>
    <w:p w14:paraId="4AF64588" w14:textId="2C5EE297" w:rsidR="008C1DD2" w:rsidRPr="00E51638" w:rsidRDefault="006441BE" w:rsidP="00222C50">
      <w:pPr>
        <w:pStyle w:val="Prrafo"/>
        <w:numPr>
          <w:ilvl w:val="0"/>
          <w:numId w:val="6"/>
        </w:numPr>
        <w:ind w:left="0" w:hanging="709"/>
        <w:rPr>
          <w:color w:val="000000" w:themeColor="text1"/>
        </w:rPr>
      </w:pPr>
      <w:r w:rsidRPr="00E51638">
        <w:rPr>
          <w:color w:val="000000" w:themeColor="text1"/>
        </w:rPr>
        <w:t>E</w:t>
      </w:r>
      <w:r w:rsidR="00FC4418" w:rsidRPr="00E51638">
        <w:rPr>
          <w:color w:val="000000" w:themeColor="text1"/>
        </w:rPr>
        <w:t>sta Suprema Corte de Justicia de la Nación ha sostenido reiteradamente que los actos intraparlamentarios pueden o no ser recurribles en sede judicial en atención a la naturaleza de los actos y no propiamente atendiendo a los órganos emisores</w:t>
      </w:r>
      <w:r w:rsidR="00D17180" w:rsidRPr="00E51638">
        <w:rPr>
          <w:color w:val="000000" w:themeColor="text1"/>
        </w:rPr>
        <w:t xml:space="preserve">. </w:t>
      </w:r>
      <w:r w:rsidR="00FC4418" w:rsidRPr="00E51638">
        <w:rPr>
          <w:color w:val="000000" w:themeColor="text1"/>
        </w:rPr>
        <w:t>En otras palabras, lo relevante para determinar si un acto intraparlamentario puede ser tutelado por los jueces y tribunales es la naturaleza del acto reclamado</w:t>
      </w:r>
      <w:r w:rsidR="00B571E9" w:rsidRPr="00E51638">
        <w:rPr>
          <w:color w:val="000000" w:themeColor="text1"/>
        </w:rPr>
        <w:t xml:space="preserve"> y de los derechos que se estiman lesionados.</w:t>
      </w:r>
    </w:p>
    <w:p w14:paraId="0B368E95" w14:textId="47089CEE" w:rsidR="00FC4418" w:rsidRPr="00E51638" w:rsidRDefault="00FC4418" w:rsidP="00FC4418">
      <w:pPr>
        <w:pStyle w:val="Prrafo"/>
        <w:numPr>
          <w:ilvl w:val="0"/>
          <w:numId w:val="6"/>
        </w:numPr>
        <w:ind w:left="0" w:hanging="709"/>
        <w:rPr>
          <w:color w:val="000000" w:themeColor="text1"/>
        </w:rPr>
      </w:pPr>
      <w:r w:rsidRPr="00E51638">
        <w:rPr>
          <w:color w:val="000000" w:themeColor="text1"/>
        </w:rPr>
        <w:t xml:space="preserve">Por ejemplo, en la </w:t>
      </w:r>
      <w:r w:rsidRPr="00E51638">
        <w:rPr>
          <w:i/>
          <w:iCs/>
          <w:color w:val="000000" w:themeColor="text1"/>
        </w:rPr>
        <w:t>controversia constitucional 140/2006</w:t>
      </w:r>
      <w:r w:rsidRPr="00E51638">
        <w:rPr>
          <w:rStyle w:val="Refdenotaalpie"/>
          <w:i/>
          <w:iCs/>
          <w:color w:val="000000" w:themeColor="text1"/>
        </w:rPr>
        <w:footnoteReference w:id="80"/>
      </w:r>
      <w:r w:rsidRPr="00E51638">
        <w:rPr>
          <w:color w:val="000000" w:themeColor="text1"/>
        </w:rPr>
        <w:t>, la Primera Sala de este Alto Tribunal sostuvo que los puntos de acuerdo para exhortar a un Gobernador a dejar el cargo, son actos parlamentarios que constituyen, en principio, posicionamientos políticos que emiten las Cámaras del Congreso de la Unión, por lo que no pueden ser recurridos en sede jurisdiccional.</w:t>
      </w:r>
    </w:p>
    <w:p w14:paraId="320B38F1" w14:textId="3A277D5E" w:rsidR="00FC4418" w:rsidRPr="00E51638" w:rsidRDefault="00FC4418" w:rsidP="00FC4418">
      <w:pPr>
        <w:pStyle w:val="Prrafo"/>
        <w:numPr>
          <w:ilvl w:val="0"/>
          <w:numId w:val="6"/>
        </w:numPr>
        <w:ind w:left="0" w:hanging="709"/>
        <w:rPr>
          <w:color w:val="000000" w:themeColor="text1"/>
        </w:rPr>
      </w:pPr>
      <w:r w:rsidRPr="00E51638">
        <w:rPr>
          <w:color w:val="000000" w:themeColor="text1"/>
        </w:rPr>
        <w:t>Así, se señaló que es el carácter puramente político del acto que se combate, lo que permite sostener que no puede ser materia de análisis en la controversia constitucional</w:t>
      </w:r>
      <w:r w:rsidR="00D17180" w:rsidRPr="00E51638">
        <w:rPr>
          <w:color w:val="000000" w:themeColor="text1"/>
        </w:rPr>
        <w:t xml:space="preserve">. </w:t>
      </w:r>
      <w:r w:rsidR="008454F1" w:rsidRPr="00E51638">
        <w:rPr>
          <w:color w:val="000000" w:themeColor="text1"/>
        </w:rPr>
        <w:t xml:space="preserve">Por tanto, </w:t>
      </w:r>
      <w:r w:rsidRPr="00E51638">
        <w:rPr>
          <w:b/>
          <w:bCs/>
          <w:color w:val="000000" w:themeColor="text1"/>
          <w:u w:val="single"/>
        </w:rPr>
        <w:t>no existe un impedimento constitucional para tutelar en sede judicial actos intraparlamentarios</w:t>
      </w:r>
      <w:r w:rsidRPr="00E51638">
        <w:rPr>
          <w:color w:val="000000" w:themeColor="text1"/>
        </w:rPr>
        <w:t>.</w:t>
      </w:r>
    </w:p>
    <w:p w14:paraId="4E34EE97" w14:textId="0386B8B4" w:rsidR="008454F1" w:rsidRPr="00E51638" w:rsidRDefault="008454F1" w:rsidP="008454F1">
      <w:pPr>
        <w:pStyle w:val="Prrafo"/>
        <w:numPr>
          <w:ilvl w:val="0"/>
          <w:numId w:val="6"/>
        </w:numPr>
        <w:ind w:left="0" w:hanging="709"/>
        <w:rPr>
          <w:color w:val="000000" w:themeColor="text1"/>
        </w:rPr>
      </w:pPr>
      <w:r w:rsidRPr="00E51638">
        <w:rPr>
          <w:color w:val="000000" w:themeColor="text1"/>
        </w:rPr>
        <w:t xml:space="preserve">Por su parte, al resolver la </w:t>
      </w:r>
      <w:r w:rsidRPr="00E51638">
        <w:rPr>
          <w:i/>
          <w:iCs/>
          <w:color w:val="000000" w:themeColor="text1"/>
        </w:rPr>
        <w:t>contradicción de tesis 105/2017</w:t>
      </w:r>
      <w:r w:rsidRPr="00E51638">
        <w:rPr>
          <w:rStyle w:val="Refdenotaalpie"/>
          <w:i/>
          <w:iCs/>
          <w:color w:val="000000" w:themeColor="text1"/>
        </w:rPr>
        <w:footnoteReference w:id="81"/>
      </w:r>
      <w:r w:rsidRPr="00E51638">
        <w:rPr>
          <w:i/>
          <w:iCs/>
          <w:color w:val="000000" w:themeColor="text1"/>
        </w:rPr>
        <w:t xml:space="preserve">, </w:t>
      </w:r>
      <w:r w:rsidRPr="00E51638">
        <w:rPr>
          <w:color w:val="000000" w:themeColor="text1"/>
        </w:rPr>
        <w:t>la Segunda Sala consideró que los vicios en el procedimiento legislativo son impugnables únicamente cuando se acredite un perjuicio directo en los derechos fundamentales de los que sean titulares los quejosos, lo que únicamente se podría actualizar en perjuicio de los parlamentarios</w:t>
      </w:r>
      <w:r w:rsidR="00D17180" w:rsidRPr="00E51638">
        <w:rPr>
          <w:color w:val="000000" w:themeColor="text1"/>
        </w:rPr>
        <w:t xml:space="preserve">. </w:t>
      </w:r>
      <w:r w:rsidRPr="00E51638">
        <w:rPr>
          <w:color w:val="000000" w:themeColor="text1"/>
        </w:rPr>
        <w:t xml:space="preserve">Esto quiere decir que </w:t>
      </w:r>
      <w:r w:rsidRPr="00E51638">
        <w:rPr>
          <w:b/>
          <w:bCs/>
          <w:color w:val="000000" w:themeColor="text1"/>
          <w:u w:val="single"/>
        </w:rPr>
        <w:t xml:space="preserve">los actos intraparlamentarios pueden ser controlables en sede jurisdiccional </w:t>
      </w:r>
      <w:r w:rsidRPr="00E51638">
        <w:rPr>
          <w:b/>
          <w:bCs/>
          <w:color w:val="000000" w:themeColor="text1"/>
          <w:u w:val="single"/>
        </w:rPr>
        <w:lastRenderedPageBreak/>
        <w:t>cuando estos lesionen los derechos fundamentales de los parlamentarios, sobre todo tratándose de los derechos de participación política y de acceso y desempeño del cargo</w:t>
      </w:r>
      <w:r w:rsidRPr="00E51638">
        <w:rPr>
          <w:color w:val="000000" w:themeColor="text1"/>
        </w:rPr>
        <w:t>.</w:t>
      </w:r>
    </w:p>
    <w:p w14:paraId="5FF939FA" w14:textId="3E6B422B" w:rsidR="008454F1" w:rsidRPr="00E51638" w:rsidRDefault="008454F1" w:rsidP="008454F1">
      <w:pPr>
        <w:pStyle w:val="Prrafo"/>
        <w:numPr>
          <w:ilvl w:val="0"/>
          <w:numId w:val="6"/>
        </w:numPr>
        <w:ind w:left="0" w:hanging="709"/>
        <w:rPr>
          <w:color w:val="000000" w:themeColor="text1"/>
        </w:rPr>
      </w:pPr>
      <w:r w:rsidRPr="00E51638">
        <w:rPr>
          <w:color w:val="000000" w:themeColor="text1"/>
        </w:rPr>
        <w:t xml:space="preserve">Asimismo, al resolver los </w:t>
      </w:r>
      <w:r w:rsidRPr="00E51638">
        <w:rPr>
          <w:i/>
          <w:iCs/>
          <w:color w:val="000000" w:themeColor="text1"/>
        </w:rPr>
        <w:t>amparos en revisión 25/2021</w:t>
      </w:r>
      <w:r w:rsidRPr="00E51638">
        <w:rPr>
          <w:color w:val="000000" w:themeColor="text1"/>
        </w:rPr>
        <w:t xml:space="preserve"> y</w:t>
      </w:r>
      <w:r w:rsidRPr="00E51638">
        <w:rPr>
          <w:i/>
          <w:iCs/>
          <w:color w:val="000000" w:themeColor="text1"/>
        </w:rPr>
        <w:t xml:space="preserve"> 27/2021 </w:t>
      </w:r>
      <w:r w:rsidRPr="00E51638">
        <w:rPr>
          <w:color w:val="000000" w:themeColor="text1"/>
        </w:rPr>
        <w:t xml:space="preserve">antes citados, la Primera Sala </w:t>
      </w:r>
      <w:r w:rsidRPr="00E51638">
        <w:rPr>
          <w:b/>
          <w:bCs/>
          <w:color w:val="000000" w:themeColor="text1"/>
          <w:u w:val="single"/>
        </w:rPr>
        <w:t>consideró que es posible impugnar actos parlamentarios de carácter intralegislativo</w:t>
      </w:r>
      <w:r w:rsidRPr="00E51638">
        <w:rPr>
          <w:color w:val="000000" w:themeColor="text1"/>
        </w:rPr>
        <w:t>,</w:t>
      </w:r>
      <w:r w:rsidR="009D43F5" w:rsidRPr="00E51638">
        <w:rPr>
          <w:color w:val="000000" w:themeColor="text1"/>
        </w:rPr>
        <w:t xml:space="preserve"> y que la decisión sobre la procedencia o no de la impugnación debe hacerse caso a caso.</w:t>
      </w:r>
    </w:p>
    <w:p w14:paraId="66CCB761" w14:textId="33D64EAD" w:rsidR="009D43F5" w:rsidRPr="00E51638" w:rsidRDefault="009D43F5" w:rsidP="009D43F5">
      <w:pPr>
        <w:pStyle w:val="Prrafo"/>
        <w:numPr>
          <w:ilvl w:val="0"/>
          <w:numId w:val="6"/>
        </w:numPr>
        <w:ind w:left="0" w:hanging="709"/>
        <w:rPr>
          <w:color w:val="000000" w:themeColor="text1"/>
        </w:rPr>
      </w:pPr>
      <w:r w:rsidRPr="00E51638">
        <w:rPr>
          <w:color w:val="000000" w:themeColor="text1"/>
        </w:rPr>
        <w:t xml:space="preserve">Las notas distintivas de la doctrina jurisdiccional de esta Suprema Corte de Justicia de la Nación se entrelazan en un mismo hilo conductor: maximizar la justiciabilidad de los derechos fundamentales de los parlamentarios, incluso frente a actos intralegislativos, </w:t>
      </w:r>
      <w:r w:rsidRPr="00E51638">
        <w:rPr>
          <w:b/>
          <w:bCs/>
          <w:color w:val="000000" w:themeColor="text1"/>
          <w:u w:val="single"/>
        </w:rPr>
        <w:t>siempre y cuando, esos actos no se encuentren reservados constitucionalmente a favor del Poder Legislativo en uso de facultades discrecionales de carácter eminentemente político</w:t>
      </w:r>
      <w:r w:rsidRPr="00E51638">
        <w:rPr>
          <w:color w:val="000000" w:themeColor="text1"/>
        </w:rPr>
        <w:t>.</w:t>
      </w:r>
    </w:p>
    <w:p w14:paraId="65C39109" w14:textId="3F9521A2" w:rsidR="00B571E9" w:rsidRPr="00E51638" w:rsidRDefault="00B571E9" w:rsidP="00B571E9">
      <w:pPr>
        <w:pStyle w:val="Prrafo"/>
        <w:numPr>
          <w:ilvl w:val="0"/>
          <w:numId w:val="6"/>
        </w:numPr>
        <w:ind w:left="0" w:hanging="709"/>
        <w:rPr>
          <w:color w:val="000000" w:themeColor="text1"/>
        </w:rPr>
      </w:pPr>
      <w:r w:rsidRPr="00E51638">
        <w:rPr>
          <w:color w:val="000000" w:themeColor="text1"/>
        </w:rPr>
        <w:t xml:space="preserve">En efecto, la recurribilidad de los actos parlamentarios no puede ser absoluta, y esta Suprema Corte considera válido sostener que </w:t>
      </w:r>
      <w:r w:rsidRPr="00E51638">
        <w:rPr>
          <w:b/>
          <w:bCs/>
          <w:color w:val="000000" w:themeColor="text1"/>
        </w:rPr>
        <w:t>existen ciertos actos u omisiones parlamentarias intralegislativas en las que sería constitucionalmente posible afirmar que el Poder Judicial se vea impedido a intervenir en un espacio en el que los parlamentarios se mueven atendiendo a consideraciones autónomas derivadas de que la Constitución haya otorgado una determinada discrecionalidad al órgano parlamentario</w:t>
      </w:r>
      <w:r w:rsidRPr="00E51638">
        <w:rPr>
          <w:color w:val="000000" w:themeColor="text1"/>
        </w:rPr>
        <w:t>.</w:t>
      </w:r>
    </w:p>
    <w:p w14:paraId="76A31F1F" w14:textId="5DB2B659" w:rsidR="00B346C0" w:rsidRPr="00E51638" w:rsidRDefault="009D43F5" w:rsidP="00DA7AE4">
      <w:pPr>
        <w:pStyle w:val="Prrafo"/>
        <w:numPr>
          <w:ilvl w:val="0"/>
          <w:numId w:val="6"/>
        </w:numPr>
        <w:ind w:left="0" w:hanging="709"/>
        <w:rPr>
          <w:color w:val="000000" w:themeColor="text1"/>
        </w:rPr>
      </w:pPr>
      <w:r w:rsidRPr="00E51638">
        <w:rPr>
          <w:color w:val="000000" w:themeColor="text1"/>
        </w:rPr>
        <w:t xml:space="preserve">Esto último es muy importante, pues </w:t>
      </w:r>
      <w:r w:rsidR="00B346C0" w:rsidRPr="00E51638">
        <w:rPr>
          <w:color w:val="000000" w:themeColor="text1"/>
        </w:rPr>
        <w:t xml:space="preserve">este Alto Tribunal reconoce la doctrina de las </w:t>
      </w:r>
      <w:r w:rsidR="00B346C0" w:rsidRPr="00E51638">
        <w:rPr>
          <w:i/>
          <w:iCs/>
          <w:color w:val="000000" w:themeColor="text1"/>
        </w:rPr>
        <w:t xml:space="preserve">cuestiones políticas no judicializables </w:t>
      </w:r>
      <w:r w:rsidR="00B346C0" w:rsidRPr="00E51638">
        <w:rPr>
          <w:color w:val="000000" w:themeColor="text1"/>
        </w:rPr>
        <w:t xml:space="preserve">o </w:t>
      </w:r>
      <w:r w:rsidR="00B346C0" w:rsidRPr="00E51638">
        <w:rPr>
          <w:i/>
          <w:iCs/>
          <w:color w:val="000000" w:themeColor="text1"/>
        </w:rPr>
        <w:t xml:space="preserve">interna corporis acta </w:t>
      </w:r>
      <w:r w:rsidR="00B346C0" w:rsidRPr="00E51638">
        <w:rPr>
          <w:color w:val="000000" w:themeColor="text1"/>
        </w:rPr>
        <w:t>que, como se ha dicho en páginas anteriores, busca proteger la autonomía parlamentaria y el respeto de la división de poderes</w:t>
      </w:r>
      <w:r w:rsidR="00D17180" w:rsidRPr="00E51638">
        <w:rPr>
          <w:color w:val="000000" w:themeColor="text1"/>
        </w:rPr>
        <w:t xml:space="preserve">. </w:t>
      </w:r>
      <w:r w:rsidR="00B346C0" w:rsidRPr="00E51638">
        <w:rPr>
          <w:color w:val="000000" w:themeColor="text1"/>
        </w:rPr>
        <w:t xml:space="preserve">Sin embargo, </w:t>
      </w:r>
      <w:r w:rsidR="00B346C0" w:rsidRPr="00E51638">
        <w:rPr>
          <w:b/>
          <w:bCs/>
          <w:color w:val="000000" w:themeColor="text1"/>
        </w:rPr>
        <w:t>también toma en cuenta que ningún órgano o poder del Estado puede estar al margen de la Constitución ni de sus garantías de protección</w:t>
      </w:r>
      <w:r w:rsidR="00B346C0" w:rsidRPr="00E51638">
        <w:rPr>
          <w:color w:val="000000" w:themeColor="text1"/>
        </w:rPr>
        <w:t>.</w:t>
      </w:r>
    </w:p>
    <w:p w14:paraId="2ACC8AF0" w14:textId="74D8DB53" w:rsidR="009D43F5" w:rsidRPr="00E51638" w:rsidRDefault="00B346C0" w:rsidP="009D43F4">
      <w:pPr>
        <w:pStyle w:val="Prrafo"/>
        <w:numPr>
          <w:ilvl w:val="0"/>
          <w:numId w:val="6"/>
        </w:numPr>
        <w:ind w:left="0" w:hanging="709"/>
        <w:rPr>
          <w:color w:val="000000" w:themeColor="text1"/>
        </w:rPr>
      </w:pPr>
      <w:r w:rsidRPr="00E51638">
        <w:rPr>
          <w:color w:val="000000" w:themeColor="text1"/>
        </w:rPr>
        <w:t xml:space="preserve">Por ese motivo, </w:t>
      </w:r>
      <w:r w:rsidR="009D43F5" w:rsidRPr="00E51638">
        <w:rPr>
          <w:color w:val="000000" w:themeColor="text1"/>
        </w:rPr>
        <w:t xml:space="preserve">partiendo del respeto de la autonomía parlamentaria, la división de poderes y la soberanía del Poder Legislativo, </w:t>
      </w:r>
      <w:r w:rsidRPr="00E51638">
        <w:rPr>
          <w:color w:val="000000" w:themeColor="text1"/>
        </w:rPr>
        <w:t xml:space="preserve">la doctrina de esta Suprema </w:t>
      </w:r>
      <w:r w:rsidRPr="00E51638">
        <w:rPr>
          <w:color w:val="000000" w:themeColor="text1"/>
        </w:rPr>
        <w:lastRenderedPageBreak/>
        <w:t>Corte ha coincidido en que</w:t>
      </w:r>
      <w:r w:rsidR="00F625BA" w:rsidRPr="00E51638">
        <w:rPr>
          <w:color w:val="000000" w:themeColor="text1"/>
        </w:rPr>
        <w:t xml:space="preserve"> es posible someter a control judicial los actos parlamentarios</w:t>
      </w:r>
      <w:r w:rsidRPr="00E51638">
        <w:rPr>
          <w:color w:val="000000" w:themeColor="text1"/>
        </w:rPr>
        <w:t>.</w:t>
      </w:r>
    </w:p>
    <w:p w14:paraId="76D418D6" w14:textId="1C5F83FC" w:rsidR="00F625BA" w:rsidRPr="00E51638" w:rsidRDefault="00B346C0" w:rsidP="006F6F8C">
      <w:pPr>
        <w:pStyle w:val="Prrafo"/>
        <w:numPr>
          <w:ilvl w:val="0"/>
          <w:numId w:val="6"/>
        </w:numPr>
        <w:ind w:left="0" w:hanging="709"/>
        <w:rPr>
          <w:color w:val="000000" w:themeColor="text1"/>
        </w:rPr>
      </w:pPr>
      <w:r w:rsidRPr="00E51638">
        <w:rPr>
          <w:i/>
          <w:iCs/>
          <w:color w:val="000000" w:themeColor="text1"/>
        </w:rPr>
        <w:t>¿Esto significa que todos los actos intraparlamentarios sean judicializables?</w:t>
      </w:r>
      <w:r w:rsidRPr="00E51638">
        <w:rPr>
          <w:color w:val="000000" w:themeColor="text1"/>
        </w:rPr>
        <w:t xml:space="preserve"> La respuesta es negativa, </w:t>
      </w:r>
      <w:r w:rsidRPr="00E51638">
        <w:rPr>
          <w:b/>
          <w:bCs/>
          <w:color w:val="000000" w:themeColor="text1"/>
          <w:u w:val="single"/>
        </w:rPr>
        <w:t>no todos los actos parlamentarios son susceptibles de tutela judicial</w:t>
      </w:r>
      <w:r w:rsidR="006F6F8C" w:rsidRPr="00E51638">
        <w:rPr>
          <w:color w:val="000000" w:themeColor="text1"/>
        </w:rPr>
        <w:t xml:space="preserve">, sino únicamente aquellos </w:t>
      </w:r>
      <w:r w:rsidR="00F625BA" w:rsidRPr="00E51638">
        <w:rPr>
          <w:color w:val="000000" w:themeColor="text1"/>
        </w:rPr>
        <w:t>que cumplan los siguientes requisitos:</w:t>
      </w:r>
    </w:p>
    <w:p w14:paraId="717EC4F7" w14:textId="5AE83E72" w:rsidR="00DB2489" w:rsidRPr="00E51638" w:rsidRDefault="00F625BA" w:rsidP="00DB2489">
      <w:pPr>
        <w:pStyle w:val="Prrafo"/>
        <w:numPr>
          <w:ilvl w:val="1"/>
          <w:numId w:val="6"/>
        </w:numPr>
        <w:ind w:left="567"/>
        <w:rPr>
          <w:color w:val="000000" w:themeColor="text1"/>
        </w:rPr>
      </w:pPr>
      <w:r w:rsidRPr="00E51638">
        <w:rPr>
          <w:b/>
          <w:bCs/>
          <w:color w:val="000000" w:themeColor="text1"/>
        </w:rPr>
        <w:t>Que</w:t>
      </w:r>
      <w:r w:rsidR="00DB2489" w:rsidRPr="00E51638">
        <w:rPr>
          <w:b/>
          <w:bCs/>
          <w:color w:val="000000" w:themeColor="text1"/>
        </w:rPr>
        <w:t xml:space="preserve"> </w:t>
      </w:r>
      <w:r w:rsidR="006F6F8C" w:rsidRPr="00E51638">
        <w:rPr>
          <w:b/>
          <w:bCs/>
          <w:color w:val="000000" w:themeColor="text1"/>
        </w:rPr>
        <w:t>sean susceptibles de lesionar algún derecho fundamental</w:t>
      </w:r>
      <w:r w:rsidR="006F6F8C" w:rsidRPr="00E51638">
        <w:rPr>
          <w:color w:val="000000" w:themeColor="text1"/>
        </w:rPr>
        <w:t xml:space="preserve">, </w:t>
      </w:r>
      <w:r w:rsidR="00DB2489" w:rsidRPr="00E51638">
        <w:rPr>
          <w:color w:val="000000" w:themeColor="text1"/>
        </w:rPr>
        <w:t xml:space="preserve">lo que en el caso del derecho de acceso y desempeño del cargo público representativo, se actualizaría cuando </w:t>
      </w:r>
      <w:r w:rsidR="0047035D" w:rsidRPr="00E51638">
        <w:rPr>
          <w:color w:val="000000" w:themeColor="text1"/>
        </w:rPr>
        <w:t xml:space="preserve">los actos afecten el núcleo esencial de la función parlamentaria; es decir, cuando se impida o dificulte el desempeño de las funciones de representación popular </w:t>
      </w:r>
      <w:r w:rsidR="0082788B" w:rsidRPr="00E51638">
        <w:rPr>
          <w:color w:val="000000" w:themeColor="text1"/>
        </w:rPr>
        <w:t xml:space="preserve">(legislativa o de control del gobierno) </w:t>
      </w:r>
      <w:r w:rsidR="0047035D" w:rsidRPr="00E51638">
        <w:rPr>
          <w:color w:val="000000" w:themeColor="text1"/>
        </w:rPr>
        <w:t xml:space="preserve">que conforman el </w:t>
      </w:r>
      <w:r w:rsidR="0047035D" w:rsidRPr="00E51638">
        <w:rPr>
          <w:i/>
          <w:iCs/>
          <w:color w:val="000000" w:themeColor="text1"/>
        </w:rPr>
        <w:t>estatus del parlamentario</w:t>
      </w:r>
      <w:r w:rsidR="0047035D" w:rsidRPr="00E51638">
        <w:rPr>
          <w:color w:val="000000" w:themeColor="text1"/>
        </w:rPr>
        <w:t>; y</w:t>
      </w:r>
    </w:p>
    <w:p w14:paraId="334B9247" w14:textId="7F77E5CE" w:rsidR="006F6F8C" w:rsidRPr="00E51638" w:rsidRDefault="0047035D" w:rsidP="0047035D">
      <w:pPr>
        <w:pStyle w:val="Prrafo"/>
        <w:numPr>
          <w:ilvl w:val="1"/>
          <w:numId w:val="6"/>
        </w:numPr>
        <w:ind w:left="567"/>
        <w:rPr>
          <w:color w:val="000000" w:themeColor="text1"/>
        </w:rPr>
      </w:pPr>
      <w:r w:rsidRPr="00E51638">
        <w:rPr>
          <w:b/>
          <w:bCs/>
          <w:color w:val="000000" w:themeColor="text1"/>
        </w:rPr>
        <w:t xml:space="preserve">Que los actos reclamados no </w:t>
      </w:r>
      <w:r w:rsidR="00DF6733" w:rsidRPr="00E51638">
        <w:rPr>
          <w:b/>
          <w:bCs/>
          <w:color w:val="000000" w:themeColor="text1"/>
        </w:rPr>
        <w:t>sean producto de una habilitación con la que la Constitución General haya conferido al legislador una discreción absoluta por criterios de oportunidad política</w:t>
      </w:r>
      <w:r w:rsidR="00D17180" w:rsidRPr="00E51638">
        <w:rPr>
          <w:color w:val="000000" w:themeColor="text1"/>
        </w:rPr>
        <w:t xml:space="preserve">. </w:t>
      </w:r>
      <w:r w:rsidRPr="00E51638">
        <w:rPr>
          <w:color w:val="000000" w:themeColor="text1"/>
        </w:rPr>
        <w:t>Es decir, que los actos parlamentarios reclamados no tengan una naturaleza eminentemente de oportunidad política derivada de un mandato constitucional que</w:t>
      </w:r>
      <w:r w:rsidR="0082788B" w:rsidRPr="00E51638">
        <w:rPr>
          <w:color w:val="000000" w:themeColor="text1"/>
        </w:rPr>
        <w:t>,</w:t>
      </w:r>
      <w:r w:rsidRPr="00E51638">
        <w:rPr>
          <w:color w:val="000000" w:themeColor="text1"/>
        </w:rPr>
        <w:t xml:space="preserve"> expresa o implícitamente</w:t>
      </w:r>
      <w:r w:rsidR="0082788B" w:rsidRPr="00E51638">
        <w:rPr>
          <w:color w:val="000000" w:themeColor="text1"/>
        </w:rPr>
        <w:t>,</w:t>
      </w:r>
      <w:r w:rsidRPr="00E51638">
        <w:rPr>
          <w:color w:val="000000" w:themeColor="text1"/>
        </w:rPr>
        <w:t xml:space="preserve"> exima a la autoridad intraparlamentaria de cualquier motivación jurídica.</w:t>
      </w:r>
    </w:p>
    <w:p w14:paraId="7CA2D3A3" w14:textId="70E71D86" w:rsidR="005E041F" w:rsidRPr="00E51638" w:rsidRDefault="00D67684" w:rsidP="002726BA">
      <w:pPr>
        <w:pStyle w:val="Prrafo"/>
        <w:numPr>
          <w:ilvl w:val="0"/>
          <w:numId w:val="6"/>
        </w:numPr>
        <w:ind w:left="0" w:hanging="709"/>
        <w:rPr>
          <w:color w:val="000000" w:themeColor="text1"/>
        </w:rPr>
      </w:pPr>
      <w:r w:rsidRPr="00E51638">
        <w:rPr>
          <w:color w:val="000000" w:themeColor="text1"/>
        </w:rPr>
        <w:t xml:space="preserve">En virtud de lo anterior, </w:t>
      </w:r>
      <w:r w:rsidR="0082788B" w:rsidRPr="00E51638">
        <w:rPr>
          <w:color w:val="000000" w:themeColor="text1"/>
        </w:rPr>
        <w:t xml:space="preserve">leído en su literalidad, </w:t>
      </w:r>
      <w:r w:rsidR="002726BA" w:rsidRPr="00E51638">
        <w:rPr>
          <w:color w:val="000000" w:themeColor="text1"/>
        </w:rPr>
        <w:t>el artículo 10, numeral 1, inciso h), de la Ley General del Sistemas de Medios de Impugnación en Materia Electoral contiene una barrera de acceso a la tutela jurisdiccional efectiva de los actos parlamentarios que es absoluta y sobre-inclusiva, de manera que veda cualquier forma de judicialización de los actos internos del Congreso de la Unión, incluso de aquellos que se opongan frontalmente a la Constitución General y lesionen algún derecho humano.</w:t>
      </w:r>
    </w:p>
    <w:p w14:paraId="1E2C81EA" w14:textId="5591E2C4" w:rsidR="00CF6BDE" w:rsidRPr="00E51638" w:rsidRDefault="008A564E" w:rsidP="00CF6BDE">
      <w:pPr>
        <w:pStyle w:val="Prrafo"/>
        <w:numPr>
          <w:ilvl w:val="0"/>
          <w:numId w:val="6"/>
        </w:numPr>
        <w:ind w:left="0" w:hanging="709"/>
        <w:rPr>
          <w:color w:val="000000" w:themeColor="text1"/>
        </w:rPr>
      </w:pPr>
      <w:r w:rsidRPr="00E51638">
        <w:rPr>
          <w:bCs/>
          <w:color w:val="000000" w:themeColor="text1"/>
        </w:rPr>
        <w:t>C</w:t>
      </w:r>
      <w:r w:rsidR="00CF6BDE" w:rsidRPr="00E51638">
        <w:rPr>
          <w:bCs/>
          <w:color w:val="000000" w:themeColor="text1"/>
        </w:rPr>
        <w:t xml:space="preserve">onforme al diseño constitucional, </w:t>
      </w:r>
      <w:r w:rsidR="00CF6BDE" w:rsidRPr="00E51638">
        <w:rPr>
          <w:b/>
          <w:color w:val="000000" w:themeColor="text1"/>
          <w:u w:val="single"/>
        </w:rPr>
        <w:t xml:space="preserve">el sistema de medios de impugnación electoral constituye </w:t>
      </w:r>
      <w:r w:rsidRPr="00E51638">
        <w:rPr>
          <w:b/>
          <w:color w:val="000000" w:themeColor="text1"/>
          <w:u w:val="single"/>
        </w:rPr>
        <w:t>una</w:t>
      </w:r>
      <w:r w:rsidR="00CF6BDE" w:rsidRPr="00E51638">
        <w:rPr>
          <w:b/>
          <w:color w:val="000000" w:themeColor="text1"/>
          <w:u w:val="single"/>
        </w:rPr>
        <w:t xml:space="preserve"> vía </w:t>
      </w:r>
      <w:r w:rsidRPr="00E51638">
        <w:rPr>
          <w:b/>
          <w:color w:val="000000" w:themeColor="text1"/>
          <w:u w:val="single"/>
        </w:rPr>
        <w:t xml:space="preserve">apta </w:t>
      </w:r>
      <w:r w:rsidR="00CF6BDE" w:rsidRPr="00E51638">
        <w:rPr>
          <w:b/>
          <w:color w:val="000000" w:themeColor="text1"/>
          <w:u w:val="single"/>
        </w:rPr>
        <w:t xml:space="preserve">para el análisis de actos u omisiones que se consideren transgresores de los derechos político-electorales accesible </w:t>
      </w:r>
      <w:r w:rsidR="00CF6BDE" w:rsidRPr="00E51638">
        <w:rPr>
          <w:b/>
          <w:color w:val="000000" w:themeColor="text1"/>
          <w:u w:val="single"/>
        </w:rPr>
        <w:lastRenderedPageBreak/>
        <w:t xml:space="preserve">a quien se considere agraviado y, por tanto, no resulta proporcional cerrar la vía, </w:t>
      </w:r>
      <w:r w:rsidR="00CF6BDE" w:rsidRPr="00E51638">
        <w:rPr>
          <w:b/>
          <w:i/>
          <w:iCs/>
          <w:color w:val="000000" w:themeColor="text1"/>
          <w:u w:val="single"/>
        </w:rPr>
        <w:t>a priori</w:t>
      </w:r>
      <w:r w:rsidR="00CF6BDE" w:rsidRPr="00E51638">
        <w:rPr>
          <w:b/>
          <w:color w:val="000000" w:themeColor="text1"/>
          <w:u w:val="single"/>
        </w:rPr>
        <w:t>, respecto de los actos parlamentarios del Congreso de la Unión, su Comisión Permanente o cualquiera de sus Cámaras, emitido por sus órganos de gobierno</w:t>
      </w:r>
      <w:r w:rsidR="00CF6BDE" w:rsidRPr="00E51638">
        <w:rPr>
          <w:bCs/>
          <w:color w:val="000000" w:themeColor="text1"/>
        </w:rPr>
        <w:t>, pues se generaría una especie de inmunidad jurisdiccional absoluta que no encuentra justificación a la luz del principio de división de poderes.</w:t>
      </w:r>
    </w:p>
    <w:p w14:paraId="2C80A6E1" w14:textId="77777777" w:rsidR="00CF6BDE" w:rsidRPr="00E51638" w:rsidRDefault="00CF6BDE" w:rsidP="00CF6BDE">
      <w:pPr>
        <w:pStyle w:val="Prrafo"/>
        <w:numPr>
          <w:ilvl w:val="0"/>
          <w:numId w:val="6"/>
        </w:numPr>
        <w:ind w:left="0" w:hanging="709"/>
        <w:rPr>
          <w:color w:val="000000" w:themeColor="text1"/>
        </w:rPr>
      </w:pPr>
      <w:r w:rsidRPr="00E51638">
        <w:rPr>
          <w:color w:val="000000" w:themeColor="text1"/>
        </w:rPr>
        <w:t>Aunado a las razones anteriores, esta causal de improcedencia podría generar una distorsión en la competencia constitucional que el artículo 99, párrafo cuarto, fracción V, de la Constitución General</w:t>
      </w:r>
      <w:r w:rsidRPr="00E51638">
        <w:rPr>
          <w:rStyle w:val="Refdenotaalpie"/>
          <w:color w:val="000000" w:themeColor="text1"/>
        </w:rPr>
        <w:footnoteReference w:id="82"/>
      </w:r>
      <w:r w:rsidRPr="00E51638">
        <w:rPr>
          <w:color w:val="000000" w:themeColor="text1"/>
        </w:rPr>
        <w:t xml:space="preserve"> otorga al Tribunal Electoral como máxima autoridad jurisdiccional en la materia y órgano especializado del Poder Judicial de la Federación, particularmente, en relación con las impugnaciones de actos y resoluciones que violen los derechos político-electorales de la ciudadanía a ser votada.</w:t>
      </w:r>
    </w:p>
    <w:p w14:paraId="3171EF5A" w14:textId="419ABE1D" w:rsidR="00CF6BDE" w:rsidRPr="00E51638" w:rsidRDefault="00CF6BDE" w:rsidP="00CF6BDE">
      <w:pPr>
        <w:pStyle w:val="Prrafo"/>
        <w:numPr>
          <w:ilvl w:val="0"/>
          <w:numId w:val="6"/>
        </w:numPr>
        <w:ind w:left="0" w:hanging="709"/>
        <w:rPr>
          <w:color w:val="000000" w:themeColor="text1"/>
        </w:rPr>
      </w:pPr>
      <w:r w:rsidRPr="00E51638">
        <w:rPr>
          <w:color w:val="000000" w:themeColor="text1"/>
        </w:rPr>
        <w:t>En efecto, la Ley General del Sistemas de Medios de Impugnación en Materia Electoral es de observancia general en toda la República y tiene por objeto garantizar que todos los actos y las resoluciones de las autoridades electorales en los procesos electorales y de consulta popular se sujeten invariablemente, según corresponda, a los principios de constitucionalidad y de legalidad, y la definitividad de los distintos actos y etapas de los procesos electorales.</w:t>
      </w:r>
    </w:p>
    <w:p w14:paraId="79E09302" w14:textId="1FF6A87A" w:rsidR="002726BA" w:rsidRPr="00E51638" w:rsidRDefault="002726BA" w:rsidP="002726BA">
      <w:pPr>
        <w:pStyle w:val="Prrafo"/>
        <w:numPr>
          <w:ilvl w:val="0"/>
          <w:numId w:val="6"/>
        </w:numPr>
        <w:ind w:left="0" w:hanging="709"/>
        <w:rPr>
          <w:color w:val="000000" w:themeColor="text1"/>
        </w:rPr>
      </w:pPr>
      <w:r w:rsidRPr="00E51638">
        <w:rPr>
          <w:color w:val="000000" w:themeColor="text1"/>
        </w:rPr>
        <w:t xml:space="preserve">De esta manera, </w:t>
      </w:r>
      <w:r w:rsidR="005241F7" w:rsidRPr="00E51638">
        <w:rPr>
          <w:color w:val="000000" w:themeColor="text1"/>
        </w:rPr>
        <w:t xml:space="preserve">la prohibición absoluta de recurrir cualquier acto parlamentario, </w:t>
      </w:r>
      <w:r w:rsidR="005241F7" w:rsidRPr="00E51638">
        <w:rPr>
          <w:b/>
          <w:bCs/>
          <w:color w:val="000000" w:themeColor="text1"/>
          <w:u w:val="single"/>
        </w:rPr>
        <w:t>vulnera el derecho de acceso a la tutela judicial efectiva</w:t>
      </w:r>
      <w:r w:rsidR="005241F7" w:rsidRPr="00E51638">
        <w:rPr>
          <w:color w:val="000000" w:themeColor="text1"/>
        </w:rPr>
        <w:t xml:space="preserve"> de las personas que integran las Cámaras del Congreso de la Unión </w:t>
      </w:r>
      <w:r w:rsidR="005241F7" w:rsidRPr="00E51638">
        <w:rPr>
          <w:b/>
          <w:bCs/>
          <w:color w:val="000000" w:themeColor="text1"/>
          <w:u w:val="single"/>
        </w:rPr>
        <w:t>con respecto a su derecho de acceso y ejercicio del cargo, lo cual es abiertamente inconstitucional</w:t>
      </w:r>
      <w:r w:rsidR="005241F7" w:rsidRPr="00E51638">
        <w:rPr>
          <w:color w:val="000000" w:themeColor="text1"/>
        </w:rPr>
        <w:t>.</w:t>
      </w:r>
    </w:p>
    <w:p w14:paraId="54AA0D03" w14:textId="2DE402F4" w:rsidR="009120CF" w:rsidRPr="00E51638" w:rsidRDefault="009120CF" w:rsidP="006F33AE">
      <w:pPr>
        <w:pStyle w:val="Prrafo"/>
        <w:numPr>
          <w:ilvl w:val="0"/>
          <w:numId w:val="6"/>
        </w:numPr>
        <w:spacing w:after="0"/>
        <w:ind w:left="0" w:hanging="709"/>
        <w:rPr>
          <w:color w:val="000000" w:themeColor="text1"/>
        </w:rPr>
      </w:pPr>
      <w:r w:rsidRPr="00E51638">
        <w:rPr>
          <w:color w:val="000000" w:themeColor="text1"/>
        </w:rPr>
        <w:lastRenderedPageBreak/>
        <w:t>Esta resolución no implica un pronunciamiento en el que se afirme que los actos intraparlamentarios deban ser justiciables, exclusivamente, a través de los medios de impugnación competencia del Tribunal Electoral del Poder Judicial de la Federación</w:t>
      </w:r>
      <w:r w:rsidR="006F33AE" w:rsidRPr="00E51638">
        <w:rPr>
          <w:color w:val="000000" w:themeColor="text1"/>
        </w:rPr>
        <w:t>, ya que esa delimitación corresponderá hacerse caso por caso</w:t>
      </w:r>
      <w:r w:rsidR="00CB75E6" w:rsidRPr="00E51638">
        <w:rPr>
          <w:color w:val="000000" w:themeColor="text1"/>
        </w:rPr>
        <w:t xml:space="preserve">, atendiendo a las reglas procesales correspondientes </w:t>
      </w:r>
      <w:r w:rsidR="006F33AE" w:rsidRPr="00E51638">
        <w:rPr>
          <w:color w:val="000000" w:themeColor="text1"/>
        </w:rPr>
        <w:t>y, en este momento, no se prejuzga sobre la procedencia de algún otro medio de impugnación, como mecanismo para combatir actos internos del Congreso de la Unión.</w:t>
      </w:r>
    </w:p>
    <w:p w14:paraId="0275ABA7" w14:textId="4B39030C" w:rsidR="00B23AE8" w:rsidRPr="00E51638" w:rsidRDefault="00B23AE8" w:rsidP="006F33AE">
      <w:pPr>
        <w:pStyle w:val="Prrafo"/>
        <w:spacing w:before="0"/>
        <w:jc w:val="center"/>
        <w:rPr>
          <w:color w:val="000000" w:themeColor="text1"/>
        </w:rPr>
      </w:pPr>
      <w:r w:rsidRPr="00E51638">
        <w:rPr>
          <w:color w:val="000000" w:themeColor="text1"/>
        </w:rPr>
        <w:t>***</w:t>
      </w:r>
    </w:p>
    <w:p w14:paraId="472D182C" w14:textId="1931F92D" w:rsidR="00B23AE8" w:rsidRPr="00E51638" w:rsidRDefault="001662A4" w:rsidP="00B23AE8">
      <w:pPr>
        <w:pStyle w:val="Prrafo"/>
        <w:numPr>
          <w:ilvl w:val="0"/>
          <w:numId w:val="6"/>
        </w:numPr>
        <w:ind w:left="0" w:hanging="709"/>
        <w:rPr>
          <w:color w:val="000000" w:themeColor="text1"/>
        </w:rPr>
      </w:pPr>
      <w:r w:rsidRPr="00E51638">
        <w:rPr>
          <w:color w:val="000000" w:themeColor="text1"/>
        </w:rPr>
        <w:t xml:space="preserve">Por las razones anteriores, este Tribunal Pleno </w:t>
      </w:r>
      <w:r w:rsidRPr="00E51638">
        <w:rPr>
          <w:b/>
          <w:bCs/>
          <w:color w:val="000000" w:themeColor="text1"/>
          <w:u w:val="single"/>
        </w:rPr>
        <w:t>declara la invalidez del inciso h) del numeral 1 del artículo 10 de la Ley General del Sistemas de Medios de Impugnación en Materia Electoral</w:t>
      </w:r>
      <w:r w:rsidRPr="00E51638">
        <w:rPr>
          <w:color w:val="000000" w:themeColor="text1"/>
        </w:rPr>
        <w:t>, adicionado mediante Decreto publicado en el Diario Oficial de la Federación el diecinueve de abril de dos mil veintidós.</w:t>
      </w:r>
    </w:p>
    <w:p w14:paraId="45EFB7E4" w14:textId="77777777" w:rsidR="00B23AE8" w:rsidRPr="00E51638" w:rsidRDefault="00FD6EC6" w:rsidP="00B23AE8">
      <w:pPr>
        <w:pStyle w:val="Prrafo"/>
        <w:numPr>
          <w:ilvl w:val="0"/>
          <w:numId w:val="6"/>
        </w:numPr>
        <w:ind w:left="0" w:hanging="709"/>
        <w:rPr>
          <w:color w:val="000000" w:themeColor="text1"/>
        </w:rPr>
      </w:pPr>
      <w:r w:rsidRPr="00E51638">
        <w:t>Al haberse alcanzado la invalidez de la norma impugnada, resulta innecesario analizar los argumentos restantes que, en forma adicional, se dirigen también a evidenciar la inconstitucionalidad de este precepto, en términos de la jurisprudencia P./J. 37/2004, de rubro: “</w:t>
      </w:r>
      <w:r w:rsidRPr="00E51638">
        <w:rPr>
          <w:b/>
          <w:bCs/>
          <w:i/>
          <w:iCs/>
        </w:rPr>
        <w:t>ACCIÓN DE INCONSTITUCIONALIDAD. ESTUDIO INNECESARIO DE CONCEPTOS DE INVALIDEZ</w:t>
      </w:r>
      <w:r w:rsidRPr="00E51638">
        <w:rPr>
          <w:i/>
          <w:iCs/>
        </w:rPr>
        <w:t>”</w:t>
      </w:r>
      <w:r w:rsidRPr="00E51638">
        <w:rPr>
          <w:rStyle w:val="Refdenotaalpie"/>
        </w:rPr>
        <w:footnoteReference w:id="83"/>
      </w:r>
      <w:r w:rsidRPr="00E51638">
        <w:t>.</w:t>
      </w:r>
    </w:p>
    <w:p w14:paraId="0AF038CB" w14:textId="254FA7E4" w:rsidR="0037743D" w:rsidRPr="00E51638" w:rsidRDefault="00930A80" w:rsidP="0037743D">
      <w:pPr>
        <w:pStyle w:val="Ttulo3"/>
        <w:numPr>
          <w:ilvl w:val="0"/>
          <w:numId w:val="7"/>
        </w:numPr>
        <w:ind w:left="0" w:firstLine="0"/>
        <w:rPr>
          <w:color w:val="000000" w:themeColor="text1"/>
        </w:rPr>
      </w:pPr>
      <w:bookmarkStart w:id="90" w:name="_Toc108556670"/>
      <w:bookmarkStart w:id="91" w:name="_Toc108630509"/>
      <w:bookmarkStart w:id="92" w:name="_Toc108795876"/>
      <w:bookmarkStart w:id="93" w:name="_Toc109004131"/>
      <w:bookmarkStart w:id="94" w:name="_Toc113984447"/>
      <w:r>
        <w:rPr>
          <w:color w:val="000000" w:themeColor="text1"/>
        </w:rPr>
        <w:t xml:space="preserve"> </w:t>
      </w:r>
      <w:r w:rsidR="0037743D" w:rsidRPr="00E51638">
        <w:rPr>
          <w:color w:val="000000" w:themeColor="text1"/>
        </w:rPr>
        <w:t>EFECTOS</w:t>
      </w:r>
      <w:bookmarkEnd w:id="90"/>
      <w:bookmarkEnd w:id="91"/>
      <w:bookmarkEnd w:id="92"/>
      <w:bookmarkEnd w:id="93"/>
      <w:bookmarkEnd w:id="94"/>
      <w:r>
        <w:rPr>
          <w:color w:val="000000" w:themeColor="text1"/>
        </w:rPr>
        <w:t>.</w:t>
      </w:r>
    </w:p>
    <w:p w14:paraId="118553BE" w14:textId="7FC2D5D3" w:rsidR="00B23AE8" w:rsidRPr="00E51638" w:rsidRDefault="0037743D" w:rsidP="00B23AE8">
      <w:pPr>
        <w:pStyle w:val="Prrafo"/>
        <w:numPr>
          <w:ilvl w:val="0"/>
          <w:numId w:val="6"/>
        </w:numPr>
        <w:ind w:left="0" w:hanging="709"/>
        <w:rPr>
          <w:color w:val="000000" w:themeColor="text1"/>
        </w:rPr>
      </w:pPr>
      <w:r w:rsidRPr="00E51638">
        <w:rPr>
          <w:color w:val="000000" w:themeColor="text1"/>
        </w:rPr>
        <w:t xml:space="preserve">El artículo 73, en relación con los </w:t>
      </w:r>
      <w:r w:rsidR="00930A80">
        <w:rPr>
          <w:color w:val="000000" w:themeColor="text1"/>
        </w:rPr>
        <w:t>diversos</w:t>
      </w:r>
      <w:r w:rsidRPr="00E51638">
        <w:rPr>
          <w:color w:val="000000" w:themeColor="text1"/>
        </w:rPr>
        <w:t xml:space="preserve"> 41, 43, 44 y 45 de la Ley Reglamentaria de la materia, señalan que las sentencias deben contener los alcances y efectos de estas, así como fijar con precisión los órganos obligados a cumplirla, las normas generales respecto de las cuales opere y todos aquellos elementos necesarios para su plena eficacia en el ámbito que corresponda. Además, se debe fijar la fecha a partir de la cual la sentencia producirá sus efectos.</w:t>
      </w:r>
    </w:p>
    <w:p w14:paraId="1265A3D5" w14:textId="4DAD49CA" w:rsidR="00B23AE8" w:rsidRPr="00E51638" w:rsidRDefault="0037743D" w:rsidP="00B23AE8">
      <w:pPr>
        <w:pStyle w:val="Prrafo"/>
        <w:numPr>
          <w:ilvl w:val="0"/>
          <w:numId w:val="6"/>
        </w:numPr>
        <w:ind w:left="0" w:hanging="709"/>
        <w:rPr>
          <w:color w:val="000000" w:themeColor="text1"/>
        </w:rPr>
      </w:pPr>
      <w:r w:rsidRPr="00E51638">
        <w:rPr>
          <w:b/>
          <w:bCs/>
          <w:color w:val="000000" w:themeColor="text1"/>
        </w:rPr>
        <w:lastRenderedPageBreak/>
        <w:t>Declaratoria de invalidez:</w:t>
      </w:r>
      <w:r w:rsidRPr="00E51638">
        <w:rPr>
          <w:color w:val="000000" w:themeColor="text1"/>
        </w:rPr>
        <w:t xml:space="preserve"> En atención a las consideraciones desarrolladas en el apartado precedente, se </w:t>
      </w:r>
      <w:r w:rsidRPr="00E51638">
        <w:rPr>
          <w:color w:val="000000" w:themeColor="text1"/>
          <w:u w:val="single"/>
        </w:rPr>
        <w:t>declara la invalidez del inciso h) del numeral 1 del artículo 10 de la Ley General del Sistemas de Medios de Impugnación en Materia Electoral</w:t>
      </w:r>
      <w:r w:rsidRPr="00E51638">
        <w:rPr>
          <w:color w:val="000000" w:themeColor="text1"/>
        </w:rPr>
        <w:t>, adicionado mediante Decreto publicado en el Diario Oficial de la Federación el diecinueve de abril de dos mil veintidós.</w:t>
      </w:r>
    </w:p>
    <w:p w14:paraId="77D665F9" w14:textId="77777777" w:rsidR="00B23AE8" w:rsidRPr="00E51638" w:rsidRDefault="0037743D" w:rsidP="00B23AE8">
      <w:pPr>
        <w:pStyle w:val="Prrafo"/>
        <w:numPr>
          <w:ilvl w:val="0"/>
          <w:numId w:val="6"/>
        </w:numPr>
        <w:ind w:left="0" w:hanging="709"/>
        <w:rPr>
          <w:color w:val="000000" w:themeColor="text1"/>
        </w:rPr>
      </w:pPr>
      <w:r w:rsidRPr="00E51638">
        <w:rPr>
          <w:b/>
          <w:bCs/>
          <w:color w:val="000000" w:themeColor="text1"/>
        </w:rPr>
        <w:t>Fecha a partir de la cual surtirá efectos la declaratoria general de invalidez:</w:t>
      </w:r>
      <w:r w:rsidRPr="00E51638">
        <w:rPr>
          <w:color w:val="000000" w:themeColor="text1"/>
        </w:rPr>
        <w:t xml:space="preserve"> Conforme a lo dispuesto por el artículo 45, párrafo primero, de la ley Reglamentaria, esta resolución y la declaratoria de invalidez </w:t>
      </w:r>
      <w:r w:rsidRPr="00E51638">
        <w:rPr>
          <w:b/>
          <w:bCs/>
          <w:color w:val="000000" w:themeColor="text1"/>
        </w:rPr>
        <w:t xml:space="preserve">surtirán efectos a partir de la notificación de los puntos resolutivos </w:t>
      </w:r>
      <w:r w:rsidRPr="00E51638">
        <w:rPr>
          <w:color w:val="000000" w:themeColor="text1"/>
        </w:rPr>
        <w:t>de esta sentencia al Congreso de la Unión.</w:t>
      </w:r>
    </w:p>
    <w:p w14:paraId="01414143" w14:textId="77777777" w:rsidR="00B23AE8" w:rsidRPr="00E51638" w:rsidRDefault="0037743D" w:rsidP="00B23AE8">
      <w:pPr>
        <w:pStyle w:val="Prrafo"/>
        <w:numPr>
          <w:ilvl w:val="0"/>
          <w:numId w:val="6"/>
        </w:numPr>
        <w:ind w:left="0" w:hanging="709"/>
        <w:rPr>
          <w:color w:val="000000" w:themeColor="text1"/>
        </w:rPr>
      </w:pPr>
      <w:r w:rsidRPr="00E51638">
        <w:rPr>
          <w:color w:val="000000" w:themeColor="text1"/>
        </w:rPr>
        <w:t>Lo anterior, porque si bien esta acción de inconstitucionalidad fue tramitada como un medio de control abstracto de constitucionalidad en materia electoral, lo cierto es que no tiene un impacto directo en los procesos electorales que se encuentran en curso, ni en aquellos que darán inicio en los próximos meses</w:t>
      </w:r>
      <w:r w:rsidR="00D17180" w:rsidRPr="00E51638">
        <w:rPr>
          <w:color w:val="000000" w:themeColor="text1"/>
        </w:rPr>
        <w:t xml:space="preserve">. </w:t>
      </w:r>
      <w:r w:rsidRPr="00E51638">
        <w:rPr>
          <w:color w:val="000000" w:themeColor="text1"/>
        </w:rPr>
        <w:t>Las consecuencias de la presente decisión se circunscriben al ámbito del acceso y desempeño de los cargos públicos representativos de los parlamentarios, de manera que la promoción de medios de impugnación relacionados con esta temática no afectará directamente el desarrollo de los procesos electorales en curso, de manera que no es necesario postergar los efectos de la declaratoria de invalidez.</w:t>
      </w:r>
    </w:p>
    <w:p w14:paraId="7AED8E3B" w14:textId="7E88721F" w:rsidR="00C9272C" w:rsidRPr="00E51638" w:rsidRDefault="0037743D" w:rsidP="005F38F2">
      <w:pPr>
        <w:pStyle w:val="Prrafo"/>
        <w:numPr>
          <w:ilvl w:val="0"/>
          <w:numId w:val="6"/>
        </w:numPr>
        <w:ind w:left="0" w:hanging="709"/>
        <w:rPr>
          <w:color w:val="000000" w:themeColor="text1"/>
        </w:rPr>
      </w:pPr>
      <w:r w:rsidRPr="00E51638">
        <w:rPr>
          <w:b/>
          <w:bCs/>
          <w:color w:val="000000" w:themeColor="text1"/>
        </w:rPr>
        <w:t xml:space="preserve">Notificaciones: </w:t>
      </w:r>
      <w:r w:rsidRPr="00E51638">
        <w:t>Finalmente, para el eficaz cumplimiento de esta sentencia, además del Congreso de la Unión y las Partes, también deberá notificarse a la Sala Superior del Tribunal Electoral del Poder Judicial de la Federación.</w:t>
      </w:r>
    </w:p>
    <w:p w14:paraId="35A7ECDD" w14:textId="7F7C1A46" w:rsidR="0037743D" w:rsidRPr="00E51638" w:rsidRDefault="0037743D" w:rsidP="0037743D">
      <w:pPr>
        <w:pStyle w:val="Ttulo3"/>
        <w:numPr>
          <w:ilvl w:val="0"/>
          <w:numId w:val="7"/>
        </w:numPr>
        <w:ind w:left="0" w:firstLine="0"/>
      </w:pPr>
      <w:r w:rsidRPr="00E51638">
        <w:t xml:space="preserve"> </w:t>
      </w:r>
      <w:bookmarkStart w:id="95" w:name="_Toc108556671"/>
      <w:bookmarkStart w:id="96" w:name="_Toc108630510"/>
      <w:bookmarkStart w:id="97" w:name="_Toc108795877"/>
      <w:bookmarkStart w:id="98" w:name="_Toc109004132"/>
      <w:bookmarkStart w:id="99" w:name="_Toc113984448"/>
      <w:r w:rsidRPr="00E51638">
        <w:t>DECISIÓN</w:t>
      </w:r>
      <w:bookmarkEnd w:id="95"/>
      <w:bookmarkEnd w:id="96"/>
      <w:bookmarkEnd w:id="97"/>
      <w:bookmarkEnd w:id="98"/>
      <w:bookmarkEnd w:id="99"/>
      <w:r w:rsidR="001B3A73">
        <w:t>.</w:t>
      </w:r>
    </w:p>
    <w:p w14:paraId="06369D20" w14:textId="11F0C6E4" w:rsidR="0037743D" w:rsidRPr="00E51638" w:rsidRDefault="0037743D" w:rsidP="00B23AE8">
      <w:pPr>
        <w:pStyle w:val="Prrafo"/>
        <w:numPr>
          <w:ilvl w:val="0"/>
          <w:numId w:val="6"/>
        </w:numPr>
        <w:ind w:left="0" w:hanging="709"/>
        <w:rPr>
          <w:color w:val="000000" w:themeColor="text1"/>
        </w:rPr>
      </w:pPr>
      <w:r w:rsidRPr="00E51638">
        <w:rPr>
          <w:color w:val="000000" w:themeColor="text1"/>
        </w:rPr>
        <w:t>Por lo antes expuesto, el Pleno de la Suprema Corte de Justicia de la Nación resuelve:</w:t>
      </w:r>
    </w:p>
    <w:p w14:paraId="67B75D80" w14:textId="77777777" w:rsidR="00B14EB0" w:rsidRPr="00E51638" w:rsidRDefault="0037743D" w:rsidP="00B14EB0">
      <w:pPr>
        <w:pStyle w:val="Prrafo"/>
        <w:ind w:firstLine="708"/>
        <w:rPr>
          <w:lang w:val="es-ES"/>
        </w:rPr>
      </w:pPr>
      <w:r w:rsidRPr="00E51638">
        <w:rPr>
          <w:b/>
        </w:rPr>
        <w:t>PRIMERO.</w:t>
      </w:r>
      <w:r w:rsidR="00B14EB0" w:rsidRPr="00E51638">
        <w:rPr>
          <w:lang w:val="es-ES"/>
        </w:rPr>
        <w:t xml:space="preserve"> Es </w:t>
      </w:r>
      <w:r w:rsidR="00B14EB0" w:rsidRPr="00E51638">
        <w:rPr>
          <w:b/>
          <w:bCs/>
          <w:lang w:val="es-ES"/>
        </w:rPr>
        <w:t>procedente y fundada</w:t>
      </w:r>
      <w:r w:rsidR="00B14EB0" w:rsidRPr="00E51638">
        <w:rPr>
          <w:lang w:val="es-ES"/>
        </w:rPr>
        <w:t xml:space="preserve"> la presente acción de inconstitucionalidad y su acumulada. </w:t>
      </w:r>
    </w:p>
    <w:p w14:paraId="6DD4CB7E" w14:textId="77777777" w:rsidR="00B14EB0" w:rsidRPr="00E51638" w:rsidRDefault="00B14EB0" w:rsidP="00B14EB0">
      <w:pPr>
        <w:pStyle w:val="Prrafo"/>
        <w:ind w:firstLine="708"/>
        <w:rPr>
          <w:lang w:val="es-ES"/>
        </w:rPr>
      </w:pPr>
      <w:r w:rsidRPr="00E51638">
        <w:rPr>
          <w:b/>
          <w:bCs/>
          <w:lang w:val="es-ES"/>
        </w:rPr>
        <w:lastRenderedPageBreak/>
        <w:t>SEGUNDO</w:t>
      </w:r>
      <w:r w:rsidRPr="00E51638">
        <w:rPr>
          <w:lang w:val="es-ES"/>
        </w:rPr>
        <w:t xml:space="preserve">. Se declara la </w:t>
      </w:r>
      <w:r w:rsidRPr="00E51638">
        <w:rPr>
          <w:b/>
          <w:bCs/>
          <w:lang w:val="es-ES"/>
        </w:rPr>
        <w:t>invalidez</w:t>
      </w:r>
      <w:r w:rsidRPr="00E51638">
        <w:rPr>
          <w:lang w:val="es-ES"/>
        </w:rPr>
        <w:t xml:space="preserve"> del artículo 10, numeral 1, inciso h), de la Ley General del Sistema de Medios de Impugnación en Materia Electoral, adicionado mediante el DECRETO publicado en el Diario Oficial de la Federación el diecinueve de abril de dos mil veintidós, la cual surtirá sus </w:t>
      </w:r>
      <w:r w:rsidRPr="00E51638">
        <w:rPr>
          <w:b/>
          <w:bCs/>
          <w:lang w:val="es-ES"/>
        </w:rPr>
        <w:t>efectos</w:t>
      </w:r>
      <w:r w:rsidRPr="00E51638">
        <w:rPr>
          <w:lang w:val="es-ES"/>
        </w:rPr>
        <w:t xml:space="preserve"> a partir de la notificación de estos puntos resolutivos al Congreso de la Unión, en términos de los apartados V y VI de esta decisión. </w:t>
      </w:r>
    </w:p>
    <w:p w14:paraId="6DD664E8" w14:textId="46B13B9E" w:rsidR="00B14EB0" w:rsidRPr="00E51638" w:rsidRDefault="00B14EB0" w:rsidP="00B14EB0">
      <w:pPr>
        <w:pStyle w:val="Prrafo"/>
        <w:ind w:firstLine="708"/>
      </w:pPr>
      <w:r w:rsidRPr="00E51638">
        <w:rPr>
          <w:b/>
          <w:bCs/>
          <w:lang w:val="es-ES"/>
        </w:rPr>
        <w:t>TERCERO</w:t>
      </w:r>
      <w:r w:rsidRPr="00E51638">
        <w:rPr>
          <w:lang w:val="es-ES"/>
        </w:rPr>
        <w:t xml:space="preserve">. </w:t>
      </w:r>
      <w:r w:rsidRPr="00E51638">
        <w:rPr>
          <w:b/>
          <w:bCs/>
          <w:lang w:val="es-ES"/>
        </w:rPr>
        <w:t>Publíquese</w:t>
      </w:r>
      <w:r w:rsidRPr="00E51638">
        <w:rPr>
          <w:lang w:val="es-ES"/>
        </w:rPr>
        <w:t xml:space="preserve"> esta resolución en el Diario Oficial de la Federación, así como en el Semanario Judicial de la Federación y su Gaceta.</w:t>
      </w:r>
    </w:p>
    <w:p w14:paraId="042C92E8" w14:textId="7D4B8900" w:rsidR="00996A82" w:rsidRPr="00E51638" w:rsidRDefault="0037743D" w:rsidP="003B3527">
      <w:pPr>
        <w:pStyle w:val="Prrafo"/>
      </w:pPr>
      <w:r w:rsidRPr="00E51638">
        <w:rPr>
          <w:b/>
        </w:rPr>
        <w:t>Notifíquese;</w:t>
      </w:r>
      <w:r w:rsidRPr="00E51638">
        <w:t xml:space="preserve"> mediante oficio a las partes y a la Sala Superior del Tribunal Electoral del Poder Judicial de la Federación y, en su oportunidad, archívese el expediente como asunto concluido.</w:t>
      </w:r>
    </w:p>
    <w:p w14:paraId="28BE1C44" w14:textId="77777777" w:rsidR="003B3527" w:rsidRPr="00E51638" w:rsidRDefault="003B3527" w:rsidP="003B3527">
      <w:pPr>
        <w:spacing w:before="240" w:after="240" w:line="360" w:lineRule="auto"/>
        <w:ind w:firstLine="708"/>
        <w:rPr>
          <w:sz w:val="26"/>
          <w:szCs w:val="26"/>
        </w:rPr>
      </w:pPr>
      <w:r w:rsidRPr="00E51638">
        <w:rPr>
          <w:sz w:val="26"/>
          <w:szCs w:val="26"/>
        </w:rPr>
        <w:t>Así lo resolvió el Pleno de la Suprema Corte de Justicia de la Nación:</w:t>
      </w:r>
    </w:p>
    <w:p w14:paraId="204F1474" w14:textId="77777777" w:rsidR="003B3527" w:rsidRPr="00E51638" w:rsidRDefault="003B3527" w:rsidP="003B3527">
      <w:pPr>
        <w:spacing w:before="240" w:after="240" w:line="360" w:lineRule="auto"/>
        <w:ind w:firstLine="708"/>
        <w:rPr>
          <w:b/>
          <w:sz w:val="26"/>
          <w:szCs w:val="26"/>
        </w:rPr>
      </w:pPr>
      <w:r w:rsidRPr="00E51638">
        <w:rPr>
          <w:b/>
          <w:sz w:val="26"/>
          <w:szCs w:val="26"/>
        </w:rPr>
        <w:t>En relación con el punto resolutivo primero:</w:t>
      </w:r>
    </w:p>
    <w:p w14:paraId="14D05F04" w14:textId="77777777" w:rsidR="003B3527" w:rsidRPr="00E51638" w:rsidRDefault="003B3527" w:rsidP="003B3527">
      <w:pPr>
        <w:spacing w:before="240" w:after="240" w:line="360" w:lineRule="auto"/>
        <w:ind w:firstLine="708"/>
        <w:rPr>
          <w:sz w:val="26"/>
          <w:szCs w:val="26"/>
          <w:lang w:val="es-ES"/>
        </w:rPr>
      </w:pPr>
      <w:r w:rsidRPr="00E51638">
        <w:rPr>
          <w:sz w:val="26"/>
          <w:szCs w:val="26"/>
          <w:lang w:val="es-ES"/>
        </w:rPr>
        <w:t xml:space="preserve">Se aprobó por unanimidad de </w:t>
      </w:r>
      <w:r w:rsidRPr="00E51638">
        <w:rPr>
          <w:sz w:val="26"/>
          <w:szCs w:val="26"/>
          <w:lang w:val="es-ES" w:eastAsia="es-ES"/>
        </w:rPr>
        <w:t xml:space="preserve">nueve votos de las señoras Ministras y de los señores Ministros Gutiérrez Ortiz Mena, González Alcántara Carrancá, Esquivel Mossa, Aguilar Morales, Piña Hernández, Ríos Farjat, Laynez Potisek, Pérez Dayán y Presidente Zaldívar Lelo de Larrea, respecto </w:t>
      </w:r>
      <w:r w:rsidRPr="00E51638">
        <w:rPr>
          <w:sz w:val="26"/>
          <w:szCs w:val="26"/>
          <w:lang w:val="es-ES"/>
        </w:rPr>
        <w:t>de los apartados I, II, III y IV relativos, respectivamente, a la competencia, a la oportunidad, a la legitimación y a las causas de improcedencia y sobreseimiento.</w:t>
      </w:r>
    </w:p>
    <w:p w14:paraId="18D9CAC3" w14:textId="77777777" w:rsidR="003B3527" w:rsidRPr="00E51638" w:rsidRDefault="003B3527" w:rsidP="003B3527">
      <w:pPr>
        <w:spacing w:before="240" w:after="240" w:line="360" w:lineRule="auto"/>
        <w:ind w:firstLine="708"/>
        <w:rPr>
          <w:b/>
          <w:sz w:val="26"/>
          <w:szCs w:val="26"/>
        </w:rPr>
      </w:pPr>
      <w:r w:rsidRPr="00E51638">
        <w:rPr>
          <w:b/>
          <w:sz w:val="26"/>
          <w:szCs w:val="26"/>
        </w:rPr>
        <w:t>En relación con el punto resolutivo segundo:</w:t>
      </w:r>
    </w:p>
    <w:p w14:paraId="7644580E" w14:textId="77777777" w:rsidR="003B3527" w:rsidRPr="00E51638" w:rsidRDefault="003B3527" w:rsidP="003B3527">
      <w:pPr>
        <w:spacing w:before="240" w:after="240" w:line="360" w:lineRule="auto"/>
        <w:ind w:firstLine="708"/>
        <w:rPr>
          <w:sz w:val="26"/>
          <w:szCs w:val="26"/>
          <w:lang w:val="es-ES"/>
        </w:rPr>
      </w:pPr>
      <w:r w:rsidRPr="00E51638">
        <w:rPr>
          <w:sz w:val="26"/>
          <w:szCs w:val="26"/>
          <w:lang w:val="es-ES"/>
        </w:rPr>
        <w:t>Se aprobó por mayoría de ocho</w:t>
      </w:r>
      <w:r w:rsidRPr="00E51638">
        <w:rPr>
          <w:sz w:val="26"/>
          <w:szCs w:val="26"/>
          <w:lang w:val="es-ES" w:eastAsia="es-ES"/>
        </w:rPr>
        <w:t xml:space="preserve"> votos de las señoras Ministras y de los señores Ministros Gutiérrez Ortiz Mena, González Alcántara Carrancá, Aguilar Morales, Piña Hernández, Ríos Farjat por razones adicionales, Laynez Potisek, Pérez Dayán y Presidente Zaldívar Lelo de Larrea, respecto </w:t>
      </w:r>
      <w:r w:rsidRPr="00E51638">
        <w:rPr>
          <w:sz w:val="26"/>
          <w:szCs w:val="26"/>
          <w:lang w:val="es-ES"/>
        </w:rPr>
        <w:t xml:space="preserve">del </w:t>
      </w:r>
      <w:r w:rsidRPr="00E51638">
        <w:rPr>
          <w:sz w:val="26"/>
          <w:szCs w:val="26"/>
          <w:lang w:val="es-ES" w:eastAsia="es-ES"/>
        </w:rPr>
        <w:t>apartado V, relativo al estudio de fondo, consistente en declarar la invalidez del artículo 10, numeral 1, inciso h), de la Ley General del Sistema de Medios de Impugnación en Materia Electoral, adicionado mediante el DECRETO publicado en el Diario Oficial de la Federación el diecinueve de abril de dos mil veintidós</w:t>
      </w:r>
      <w:r w:rsidRPr="00E51638">
        <w:rPr>
          <w:sz w:val="26"/>
          <w:szCs w:val="26"/>
          <w:lang w:val="es-ES"/>
        </w:rPr>
        <w:t xml:space="preserve">. </w:t>
      </w:r>
      <w:r w:rsidRPr="00E51638">
        <w:rPr>
          <w:sz w:val="26"/>
          <w:szCs w:val="26"/>
          <w:lang w:val="es-ES" w:eastAsia="es-ES"/>
        </w:rPr>
        <w:t xml:space="preserve">La señora </w:t>
      </w:r>
      <w:r w:rsidRPr="00E51638">
        <w:rPr>
          <w:sz w:val="26"/>
          <w:szCs w:val="26"/>
          <w:lang w:val="es-ES" w:eastAsia="es-ES"/>
        </w:rPr>
        <w:lastRenderedPageBreak/>
        <w:t>Ministra</w:t>
      </w:r>
      <w:r w:rsidRPr="00E51638">
        <w:rPr>
          <w:sz w:val="26"/>
          <w:szCs w:val="26"/>
          <w:lang w:val="es-ES"/>
        </w:rPr>
        <w:t xml:space="preserve"> </w:t>
      </w:r>
      <w:r w:rsidRPr="00E51638">
        <w:rPr>
          <w:sz w:val="26"/>
          <w:szCs w:val="26"/>
          <w:lang w:val="es-ES" w:eastAsia="es-ES"/>
        </w:rPr>
        <w:t>Esquivel Mossa votó en contra y anunció voto particular. El señor Ministro Gutiérrez Ortiz Mena y la señora Ministra Ríos Farjat anunciaron sendos votos concurrentes. La señora Ministra Piña Hernández reservó su derecho de formular votos concurrente y aclaratorio. Los señores Ministros Laynez Potisek y Presidente Zaldívar Lelo de Larrea reservaron su derecho de formular sendos votos concurrentes.</w:t>
      </w:r>
    </w:p>
    <w:p w14:paraId="36F2FA49" w14:textId="77777777" w:rsidR="003B3527" w:rsidRPr="00E51638" w:rsidRDefault="003B3527" w:rsidP="003B3527">
      <w:pPr>
        <w:spacing w:before="240" w:after="240" w:line="360" w:lineRule="auto"/>
        <w:ind w:firstLine="708"/>
        <w:rPr>
          <w:sz w:val="26"/>
          <w:szCs w:val="26"/>
          <w:lang w:val="es-ES" w:eastAsia="es-ES"/>
        </w:rPr>
      </w:pPr>
      <w:r w:rsidRPr="00E51638">
        <w:rPr>
          <w:sz w:val="26"/>
          <w:szCs w:val="26"/>
          <w:lang w:val="es-ES"/>
        </w:rPr>
        <w:t xml:space="preserve">Se aprobó por unanimidad de </w:t>
      </w:r>
      <w:r w:rsidRPr="00E51638">
        <w:rPr>
          <w:sz w:val="26"/>
          <w:szCs w:val="26"/>
          <w:lang w:val="es-ES" w:eastAsia="es-ES"/>
        </w:rPr>
        <w:t xml:space="preserve">nueve votos de las señoras Ministras y de los señores Ministros Gutiérrez Ortiz Mena, González Alcántara Carrancá, Esquivel Mossa, Aguilar Morales, Piña Hernández, Ríos Farjat, Laynez Potisek, Pérez Dayán y Presidente Zaldívar Lelo de Larrea, respecto </w:t>
      </w:r>
      <w:r w:rsidRPr="00E51638">
        <w:rPr>
          <w:sz w:val="26"/>
          <w:szCs w:val="26"/>
          <w:lang w:val="es-ES"/>
        </w:rPr>
        <w:t xml:space="preserve">del </w:t>
      </w:r>
      <w:r w:rsidRPr="00E51638">
        <w:rPr>
          <w:sz w:val="26"/>
          <w:szCs w:val="26"/>
          <w:lang w:val="es-ES" w:eastAsia="es-ES"/>
        </w:rPr>
        <w:t>apartado VI, relativo a los efectos</w:t>
      </w:r>
      <w:r w:rsidRPr="00E51638">
        <w:rPr>
          <w:sz w:val="26"/>
          <w:szCs w:val="26"/>
          <w:lang w:val="es-ES"/>
        </w:rPr>
        <w:t xml:space="preserve">, consistente en: </w:t>
      </w:r>
      <w:r w:rsidRPr="00E51638">
        <w:rPr>
          <w:sz w:val="26"/>
          <w:szCs w:val="26"/>
          <w:lang w:val="es-ES" w:eastAsia="es-ES"/>
        </w:rPr>
        <w:t>1) determinar que la declaratoria de invalidez surta efectos a partir de la notificación de los puntos resolutivos de esta sentencia al Congreso de la Unión y 2) determinar que, para el eficaz cumplimiento de esta sentencia, además del Congreso de la Unión y las partes, también deberá notificarse a la Sala Superior del Tribunal Electoral del Poder Judicial de la Federación.</w:t>
      </w:r>
    </w:p>
    <w:p w14:paraId="22789D43" w14:textId="77777777" w:rsidR="003B3527" w:rsidRPr="00E51638" w:rsidRDefault="003B3527" w:rsidP="003B3527">
      <w:pPr>
        <w:spacing w:before="240" w:after="240" w:line="360" w:lineRule="auto"/>
        <w:ind w:firstLine="708"/>
        <w:rPr>
          <w:b/>
          <w:sz w:val="26"/>
          <w:szCs w:val="26"/>
        </w:rPr>
      </w:pPr>
      <w:r w:rsidRPr="00E51638">
        <w:rPr>
          <w:b/>
          <w:sz w:val="26"/>
          <w:szCs w:val="26"/>
        </w:rPr>
        <w:t>En relación con el punto resolutivo tercero:</w:t>
      </w:r>
    </w:p>
    <w:p w14:paraId="0835C58C" w14:textId="77777777" w:rsidR="003B3527" w:rsidRPr="00E51638" w:rsidRDefault="003B3527" w:rsidP="003B3527">
      <w:pPr>
        <w:spacing w:before="240" w:after="240" w:line="360" w:lineRule="auto"/>
        <w:ind w:firstLine="708"/>
        <w:rPr>
          <w:sz w:val="26"/>
          <w:szCs w:val="26"/>
          <w:lang w:val="es-ES"/>
        </w:rPr>
      </w:pPr>
      <w:r w:rsidRPr="00E51638">
        <w:rPr>
          <w:sz w:val="26"/>
          <w:szCs w:val="26"/>
          <w:lang w:val="es-ES"/>
        </w:rPr>
        <w:t xml:space="preserve">Se aprobó por unanimidad de </w:t>
      </w:r>
      <w:r w:rsidRPr="00E51638">
        <w:rPr>
          <w:sz w:val="26"/>
          <w:szCs w:val="26"/>
          <w:lang w:val="es-ES" w:eastAsia="es-ES"/>
        </w:rPr>
        <w:t>nueve votos de las señoras Ministras y de los señores Ministros Gutiérrez Ortiz Mena, González Alcántara Carrancá, Esquivel Mossa, Aguilar Morales, Piña Hernández, Ríos Farjat, Laynez Potisek, Pérez Dayán y Presidente Zaldívar Lelo de Larrea</w:t>
      </w:r>
      <w:r w:rsidRPr="00E51638">
        <w:rPr>
          <w:sz w:val="26"/>
          <w:szCs w:val="26"/>
          <w:lang w:val="es-ES"/>
        </w:rPr>
        <w:t>.</w:t>
      </w:r>
    </w:p>
    <w:p w14:paraId="11E833CD" w14:textId="77777777" w:rsidR="003B3527" w:rsidRPr="00E51638" w:rsidRDefault="003B3527" w:rsidP="003B3527">
      <w:pPr>
        <w:spacing w:before="240" w:after="240" w:line="360" w:lineRule="auto"/>
        <w:ind w:firstLine="709"/>
        <w:rPr>
          <w:sz w:val="26"/>
          <w:szCs w:val="26"/>
          <w:lang w:val="es-ES"/>
        </w:rPr>
      </w:pPr>
      <w:r w:rsidRPr="00E51638">
        <w:rPr>
          <w:sz w:val="26"/>
          <w:szCs w:val="26"/>
        </w:rPr>
        <w:t xml:space="preserve">La señora Ministra Loretta </w:t>
      </w:r>
      <w:r w:rsidRPr="00E51638">
        <w:rPr>
          <w:sz w:val="26"/>
          <w:szCs w:val="26"/>
          <w:lang w:eastAsia="es-ES"/>
        </w:rPr>
        <w:t xml:space="preserve">Ortiz Ahlf y el señor Ministro </w:t>
      </w:r>
      <w:r w:rsidRPr="00E51638">
        <w:rPr>
          <w:sz w:val="26"/>
          <w:szCs w:val="26"/>
        </w:rPr>
        <w:t xml:space="preserve">Jorge Mario </w:t>
      </w:r>
      <w:r w:rsidRPr="00E51638">
        <w:rPr>
          <w:sz w:val="26"/>
          <w:szCs w:val="26"/>
          <w:lang w:val="es-ES" w:eastAsia="es-ES"/>
        </w:rPr>
        <w:t xml:space="preserve">Pardo Rebolledo </w:t>
      </w:r>
      <w:r w:rsidRPr="00E51638">
        <w:rPr>
          <w:sz w:val="26"/>
          <w:szCs w:val="26"/>
          <w:lang w:val="es-ES"/>
        </w:rPr>
        <w:t>no asistieron a la sesión de veintidós de agosto de dos mil veintidós, la primera previo aviso a la Presidencia y el segundo por gozar de vacaciones, al haber integrado la comisión de receso correspondiente al segundo período de sesiones de dos mil quince.</w:t>
      </w:r>
    </w:p>
    <w:p w14:paraId="1417EBD5" w14:textId="4EAFBC9F" w:rsidR="000804CF" w:rsidRDefault="003B3527" w:rsidP="003B3527">
      <w:pPr>
        <w:spacing w:before="240" w:after="240" w:line="360" w:lineRule="auto"/>
        <w:ind w:firstLine="708"/>
        <w:rPr>
          <w:sz w:val="26"/>
          <w:szCs w:val="26"/>
        </w:rPr>
      </w:pPr>
      <w:r w:rsidRPr="00E51638">
        <w:rPr>
          <w:sz w:val="26"/>
          <w:szCs w:val="26"/>
          <w:lang w:val="es-ES" w:eastAsia="es-ES"/>
        </w:rPr>
        <w:t>El señor Ministro Presidente Zaldívar Lelo de Larrea declaró que el asunto se resolvió en los términos precisados</w:t>
      </w:r>
      <w:r w:rsidRPr="00E51638">
        <w:rPr>
          <w:sz w:val="26"/>
          <w:szCs w:val="26"/>
        </w:rPr>
        <w:t>.</w:t>
      </w:r>
    </w:p>
    <w:p w14:paraId="32951E80" w14:textId="0B0A5807" w:rsidR="005756A0" w:rsidRPr="005756A0" w:rsidRDefault="005756A0" w:rsidP="005756A0">
      <w:pPr>
        <w:spacing w:before="240" w:after="240" w:line="360" w:lineRule="auto"/>
        <w:ind w:firstLine="708"/>
        <w:rPr>
          <w:sz w:val="26"/>
          <w:szCs w:val="26"/>
          <w:lang w:val="es-ES" w:eastAsia="es-ES"/>
        </w:rPr>
      </w:pPr>
      <w:r w:rsidRPr="005756A0">
        <w:rPr>
          <w:sz w:val="26"/>
          <w:szCs w:val="26"/>
          <w:lang w:val="es-ES" w:eastAsia="es-ES"/>
        </w:rPr>
        <w:lastRenderedPageBreak/>
        <w:t>Firman l</w:t>
      </w:r>
      <w:r>
        <w:rPr>
          <w:sz w:val="26"/>
          <w:szCs w:val="26"/>
          <w:lang w:val="es-ES" w:eastAsia="es-ES"/>
        </w:rPr>
        <w:t>os</w:t>
      </w:r>
      <w:r w:rsidRPr="005756A0">
        <w:rPr>
          <w:sz w:val="26"/>
          <w:szCs w:val="26"/>
          <w:lang w:val="es-ES" w:eastAsia="es-ES"/>
        </w:rPr>
        <w:t xml:space="preserve"> señor</w:t>
      </w:r>
      <w:r>
        <w:rPr>
          <w:sz w:val="26"/>
          <w:szCs w:val="26"/>
          <w:lang w:val="es-ES" w:eastAsia="es-ES"/>
        </w:rPr>
        <w:t>es</w:t>
      </w:r>
      <w:r w:rsidRPr="005756A0">
        <w:rPr>
          <w:sz w:val="26"/>
          <w:szCs w:val="26"/>
          <w:lang w:val="es-ES" w:eastAsia="es-ES"/>
        </w:rPr>
        <w:t xml:space="preserve"> Ministro</w:t>
      </w:r>
      <w:r>
        <w:rPr>
          <w:sz w:val="26"/>
          <w:szCs w:val="26"/>
          <w:lang w:val="es-ES" w:eastAsia="es-ES"/>
        </w:rPr>
        <w:t>s</w:t>
      </w:r>
      <w:r w:rsidRPr="005756A0">
        <w:rPr>
          <w:sz w:val="26"/>
          <w:szCs w:val="26"/>
          <w:lang w:val="es-ES" w:eastAsia="es-ES"/>
        </w:rPr>
        <w:t xml:space="preserve"> Presidente y </w:t>
      </w:r>
      <w:r>
        <w:rPr>
          <w:sz w:val="26"/>
          <w:szCs w:val="26"/>
          <w:lang w:val="es-ES" w:eastAsia="es-ES"/>
        </w:rPr>
        <w:t>el Ponente</w:t>
      </w:r>
      <w:r w:rsidRPr="005756A0">
        <w:rPr>
          <w:sz w:val="26"/>
          <w:szCs w:val="26"/>
          <w:lang w:val="es-ES" w:eastAsia="es-ES"/>
        </w:rPr>
        <w:t xml:space="preserve"> con el Secretario General de Acuerdos que autoriza y da fe.</w:t>
      </w:r>
    </w:p>
    <w:p w14:paraId="1DBFD012" w14:textId="77777777" w:rsidR="005756A0" w:rsidRPr="00792429" w:rsidRDefault="005756A0" w:rsidP="005756A0">
      <w:pPr>
        <w:shd w:val="clear" w:color="auto" w:fill="FFFFFF" w:themeFill="background1"/>
        <w:spacing w:before="100" w:beforeAutospacing="1"/>
        <w:jc w:val="center"/>
        <w:rPr>
          <w:b/>
          <w:bCs/>
          <w:sz w:val="26"/>
          <w:szCs w:val="26"/>
        </w:rPr>
      </w:pPr>
    </w:p>
    <w:p w14:paraId="629E0586" w14:textId="77777777" w:rsidR="005756A0" w:rsidRPr="00792429" w:rsidRDefault="005756A0" w:rsidP="00C24500">
      <w:pPr>
        <w:shd w:val="clear" w:color="auto" w:fill="FFFFFF" w:themeFill="background1"/>
        <w:spacing w:before="0" w:after="0" w:line="360" w:lineRule="auto"/>
        <w:jc w:val="center"/>
        <w:rPr>
          <w:b/>
          <w:bCs/>
          <w:sz w:val="26"/>
          <w:szCs w:val="26"/>
        </w:rPr>
      </w:pPr>
      <w:r w:rsidRPr="00792429">
        <w:rPr>
          <w:b/>
          <w:bCs/>
          <w:sz w:val="26"/>
          <w:szCs w:val="26"/>
        </w:rPr>
        <w:t>PRESIDENTE</w:t>
      </w:r>
    </w:p>
    <w:p w14:paraId="6346CE5A" w14:textId="297B2851" w:rsidR="005756A0" w:rsidRDefault="005756A0" w:rsidP="00C24500">
      <w:pPr>
        <w:shd w:val="clear" w:color="auto" w:fill="FFFFFF" w:themeFill="background1"/>
        <w:spacing w:before="0" w:after="0" w:line="360" w:lineRule="auto"/>
        <w:jc w:val="center"/>
        <w:rPr>
          <w:b/>
          <w:bCs/>
          <w:sz w:val="26"/>
          <w:szCs w:val="26"/>
        </w:rPr>
      </w:pPr>
    </w:p>
    <w:p w14:paraId="74C667D1" w14:textId="295E5034" w:rsidR="005756A0" w:rsidRDefault="005756A0" w:rsidP="00C24500">
      <w:pPr>
        <w:shd w:val="clear" w:color="auto" w:fill="FFFFFF" w:themeFill="background1"/>
        <w:spacing w:before="0" w:after="0" w:line="360" w:lineRule="auto"/>
        <w:jc w:val="center"/>
        <w:rPr>
          <w:b/>
          <w:bCs/>
          <w:sz w:val="26"/>
          <w:szCs w:val="26"/>
        </w:rPr>
      </w:pPr>
    </w:p>
    <w:p w14:paraId="2237AA18" w14:textId="77777777" w:rsidR="00C24500" w:rsidRPr="00792429" w:rsidRDefault="00C24500" w:rsidP="00C24500">
      <w:pPr>
        <w:shd w:val="clear" w:color="auto" w:fill="FFFFFF" w:themeFill="background1"/>
        <w:spacing w:before="0" w:after="0" w:line="360" w:lineRule="auto"/>
        <w:jc w:val="center"/>
        <w:rPr>
          <w:b/>
          <w:bCs/>
          <w:sz w:val="26"/>
          <w:szCs w:val="26"/>
        </w:rPr>
      </w:pPr>
    </w:p>
    <w:p w14:paraId="2E674962" w14:textId="77777777" w:rsidR="005756A0" w:rsidRPr="00792429" w:rsidRDefault="005756A0" w:rsidP="00C24500">
      <w:pPr>
        <w:shd w:val="clear" w:color="auto" w:fill="FFFFFF" w:themeFill="background1"/>
        <w:spacing w:before="0" w:after="0" w:line="360" w:lineRule="auto"/>
        <w:jc w:val="center"/>
        <w:rPr>
          <w:b/>
          <w:bCs/>
          <w:sz w:val="26"/>
          <w:szCs w:val="26"/>
        </w:rPr>
      </w:pPr>
      <w:r>
        <w:rPr>
          <w:b/>
          <w:bCs/>
          <w:sz w:val="26"/>
          <w:szCs w:val="26"/>
        </w:rPr>
        <w:t xml:space="preserve">MINISTRO </w:t>
      </w:r>
      <w:r w:rsidRPr="00792429">
        <w:rPr>
          <w:b/>
          <w:bCs/>
          <w:sz w:val="26"/>
          <w:szCs w:val="26"/>
        </w:rPr>
        <w:t>ARTURO ZALDÍVAR LELO DE LARREA</w:t>
      </w:r>
    </w:p>
    <w:p w14:paraId="4B7703A7" w14:textId="4C850DF8" w:rsidR="005756A0" w:rsidRDefault="005756A0" w:rsidP="00C24500">
      <w:pPr>
        <w:shd w:val="clear" w:color="auto" w:fill="FFFFFF" w:themeFill="background1"/>
        <w:spacing w:before="0" w:after="0" w:line="360" w:lineRule="auto"/>
        <w:jc w:val="center"/>
        <w:rPr>
          <w:b/>
          <w:bCs/>
          <w:sz w:val="26"/>
          <w:szCs w:val="26"/>
        </w:rPr>
      </w:pPr>
    </w:p>
    <w:p w14:paraId="2775C63A" w14:textId="77777777" w:rsidR="00C24500" w:rsidRDefault="00C24500" w:rsidP="00C24500">
      <w:pPr>
        <w:shd w:val="clear" w:color="auto" w:fill="FFFFFF" w:themeFill="background1"/>
        <w:spacing w:before="0" w:after="0" w:line="360" w:lineRule="auto"/>
        <w:jc w:val="center"/>
        <w:rPr>
          <w:b/>
          <w:bCs/>
          <w:sz w:val="26"/>
          <w:szCs w:val="26"/>
        </w:rPr>
      </w:pPr>
    </w:p>
    <w:p w14:paraId="2FD3E959" w14:textId="77777777" w:rsidR="005756A0" w:rsidRPr="00792429" w:rsidRDefault="005756A0" w:rsidP="00C24500">
      <w:pPr>
        <w:shd w:val="clear" w:color="auto" w:fill="FFFFFF" w:themeFill="background1"/>
        <w:spacing w:before="0" w:after="0" w:line="360" w:lineRule="auto"/>
        <w:jc w:val="center"/>
        <w:rPr>
          <w:b/>
          <w:bCs/>
          <w:sz w:val="26"/>
          <w:szCs w:val="26"/>
        </w:rPr>
      </w:pPr>
      <w:r w:rsidRPr="00792429">
        <w:rPr>
          <w:b/>
          <w:bCs/>
          <w:sz w:val="26"/>
          <w:szCs w:val="26"/>
        </w:rPr>
        <w:t>PONENTE</w:t>
      </w:r>
    </w:p>
    <w:p w14:paraId="6FABC057" w14:textId="7A89A632" w:rsidR="005756A0" w:rsidRDefault="005756A0" w:rsidP="00C24500">
      <w:pPr>
        <w:shd w:val="clear" w:color="auto" w:fill="FFFFFF" w:themeFill="background1"/>
        <w:spacing w:before="0" w:after="0" w:line="360" w:lineRule="auto"/>
        <w:jc w:val="center"/>
        <w:rPr>
          <w:b/>
          <w:bCs/>
          <w:sz w:val="26"/>
          <w:szCs w:val="26"/>
        </w:rPr>
      </w:pPr>
    </w:p>
    <w:p w14:paraId="0DB9D450" w14:textId="0C9F0800" w:rsidR="005756A0" w:rsidRDefault="005756A0" w:rsidP="00C24500">
      <w:pPr>
        <w:shd w:val="clear" w:color="auto" w:fill="FFFFFF" w:themeFill="background1"/>
        <w:spacing w:before="0" w:after="0" w:line="360" w:lineRule="auto"/>
        <w:jc w:val="center"/>
        <w:rPr>
          <w:b/>
          <w:bCs/>
          <w:sz w:val="26"/>
          <w:szCs w:val="26"/>
        </w:rPr>
      </w:pPr>
    </w:p>
    <w:p w14:paraId="4C029063" w14:textId="77777777" w:rsidR="00C24500" w:rsidRPr="00792429" w:rsidRDefault="00C24500" w:rsidP="00C24500">
      <w:pPr>
        <w:shd w:val="clear" w:color="auto" w:fill="FFFFFF" w:themeFill="background1"/>
        <w:spacing w:before="0" w:after="0" w:line="360" w:lineRule="auto"/>
        <w:jc w:val="center"/>
        <w:rPr>
          <w:b/>
          <w:bCs/>
          <w:sz w:val="26"/>
          <w:szCs w:val="26"/>
        </w:rPr>
      </w:pPr>
    </w:p>
    <w:p w14:paraId="2AFEAE9C" w14:textId="32A20C36" w:rsidR="005756A0" w:rsidRPr="00792429" w:rsidRDefault="005756A0" w:rsidP="00C24500">
      <w:pPr>
        <w:shd w:val="clear" w:color="auto" w:fill="FFFFFF" w:themeFill="background1"/>
        <w:spacing w:before="0" w:after="0" w:line="360" w:lineRule="auto"/>
        <w:jc w:val="center"/>
        <w:rPr>
          <w:b/>
          <w:bCs/>
          <w:sz w:val="26"/>
          <w:szCs w:val="26"/>
        </w:rPr>
      </w:pPr>
      <w:r>
        <w:rPr>
          <w:b/>
          <w:bCs/>
          <w:sz w:val="26"/>
          <w:szCs w:val="26"/>
        </w:rPr>
        <w:t>MINISTRO LUIS MARÍA AGUILAR MORALES</w:t>
      </w:r>
    </w:p>
    <w:p w14:paraId="077D6AD2" w14:textId="67D148D1" w:rsidR="005756A0" w:rsidRDefault="005756A0" w:rsidP="00C24500">
      <w:pPr>
        <w:shd w:val="clear" w:color="auto" w:fill="FFFFFF" w:themeFill="background1"/>
        <w:spacing w:before="0" w:after="0" w:line="360" w:lineRule="auto"/>
        <w:jc w:val="center"/>
        <w:rPr>
          <w:b/>
          <w:bCs/>
          <w:sz w:val="26"/>
          <w:szCs w:val="26"/>
        </w:rPr>
      </w:pPr>
    </w:p>
    <w:p w14:paraId="62E376C1" w14:textId="77777777" w:rsidR="005756A0" w:rsidRPr="00792429" w:rsidRDefault="005756A0" w:rsidP="00C24500">
      <w:pPr>
        <w:shd w:val="clear" w:color="auto" w:fill="FFFFFF" w:themeFill="background1"/>
        <w:spacing w:before="0" w:after="0" w:line="360" w:lineRule="auto"/>
        <w:jc w:val="center"/>
        <w:rPr>
          <w:b/>
          <w:bCs/>
          <w:sz w:val="26"/>
          <w:szCs w:val="26"/>
        </w:rPr>
      </w:pPr>
    </w:p>
    <w:p w14:paraId="7177AD16" w14:textId="77777777" w:rsidR="005756A0" w:rsidRPr="00792429" w:rsidRDefault="005756A0" w:rsidP="00C24500">
      <w:pPr>
        <w:shd w:val="clear" w:color="auto" w:fill="FFFFFF" w:themeFill="background1"/>
        <w:spacing w:before="0" w:after="0" w:line="360" w:lineRule="auto"/>
        <w:jc w:val="center"/>
        <w:rPr>
          <w:b/>
          <w:bCs/>
          <w:sz w:val="26"/>
          <w:szCs w:val="26"/>
        </w:rPr>
      </w:pPr>
      <w:r w:rsidRPr="00792429">
        <w:rPr>
          <w:b/>
          <w:bCs/>
          <w:sz w:val="26"/>
          <w:szCs w:val="26"/>
        </w:rPr>
        <w:t>SECRETARIO GENERAL DE ACUERDOS</w:t>
      </w:r>
    </w:p>
    <w:p w14:paraId="17382B0B" w14:textId="2D12B630" w:rsidR="005756A0" w:rsidRDefault="005756A0" w:rsidP="00C24500">
      <w:pPr>
        <w:shd w:val="clear" w:color="auto" w:fill="FFFFFF" w:themeFill="background1"/>
        <w:spacing w:before="0" w:after="0" w:line="360" w:lineRule="auto"/>
        <w:jc w:val="center"/>
        <w:rPr>
          <w:b/>
          <w:bCs/>
          <w:sz w:val="26"/>
          <w:szCs w:val="26"/>
        </w:rPr>
      </w:pPr>
    </w:p>
    <w:p w14:paraId="41E420F6" w14:textId="1969FC23" w:rsidR="005756A0" w:rsidRDefault="005756A0" w:rsidP="00C24500">
      <w:pPr>
        <w:shd w:val="clear" w:color="auto" w:fill="FFFFFF" w:themeFill="background1"/>
        <w:spacing w:before="0" w:after="0" w:line="360" w:lineRule="auto"/>
        <w:jc w:val="center"/>
        <w:rPr>
          <w:b/>
          <w:bCs/>
          <w:sz w:val="26"/>
          <w:szCs w:val="26"/>
        </w:rPr>
      </w:pPr>
    </w:p>
    <w:p w14:paraId="11FA79D9" w14:textId="77777777" w:rsidR="00C24500" w:rsidRPr="00792429" w:rsidRDefault="00C24500" w:rsidP="00C24500">
      <w:pPr>
        <w:shd w:val="clear" w:color="auto" w:fill="FFFFFF" w:themeFill="background1"/>
        <w:spacing w:before="0" w:after="0" w:line="360" w:lineRule="auto"/>
        <w:jc w:val="center"/>
        <w:rPr>
          <w:b/>
          <w:bCs/>
          <w:sz w:val="26"/>
          <w:szCs w:val="26"/>
        </w:rPr>
      </w:pPr>
    </w:p>
    <w:p w14:paraId="60D7F6D2" w14:textId="77777777" w:rsidR="005756A0" w:rsidRPr="00792429" w:rsidRDefault="005756A0" w:rsidP="00C24500">
      <w:pPr>
        <w:shd w:val="clear" w:color="auto" w:fill="FFFFFF" w:themeFill="background1"/>
        <w:spacing w:before="0" w:after="0" w:line="360" w:lineRule="auto"/>
        <w:jc w:val="center"/>
        <w:rPr>
          <w:b/>
          <w:bCs/>
          <w:sz w:val="26"/>
          <w:szCs w:val="26"/>
        </w:rPr>
      </w:pPr>
      <w:r w:rsidRPr="00792429">
        <w:rPr>
          <w:b/>
          <w:bCs/>
          <w:sz w:val="26"/>
          <w:szCs w:val="26"/>
        </w:rPr>
        <w:t>LIC. RAFAEL COELLO CETINA</w:t>
      </w:r>
    </w:p>
    <w:p w14:paraId="0246D0B1" w14:textId="4611B2CC" w:rsidR="00C24500" w:rsidRDefault="00C24500" w:rsidP="005756A0">
      <w:pPr>
        <w:spacing w:before="0" w:after="0" w:line="240" w:lineRule="auto"/>
        <w:rPr>
          <w:sz w:val="20"/>
          <w:szCs w:val="20"/>
        </w:rPr>
      </w:pPr>
    </w:p>
    <w:p w14:paraId="0CCA404E" w14:textId="77777777" w:rsidR="00C24500" w:rsidRDefault="00C24500" w:rsidP="005756A0">
      <w:pPr>
        <w:spacing w:before="0" w:after="0" w:line="240" w:lineRule="auto"/>
        <w:rPr>
          <w:sz w:val="20"/>
          <w:szCs w:val="20"/>
        </w:rPr>
      </w:pPr>
    </w:p>
    <w:p w14:paraId="7FBC152E" w14:textId="71C0CECB" w:rsidR="000804CF" w:rsidRPr="00E51638" w:rsidRDefault="005756A0" w:rsidP="005756A0">
      <w:pPr>
        <w:spacing w:before="0" w:after="0" w:line="240" w:lineRule="auto"/>
        <w:rPr>
          <w:sz w:val="26"/>
          <w:szCs w:val="26"/>
        </w:rPr>
      </w:pPr>
      <w:r w:rsidRPr="00B30C0B">
        <w:rPr>
          <w:sz w:val="20"/>
          <w:szCs w:val="20"/>
        </w:rPr>
        <w:t xml:space="preserve">Esta foja forma parte de la </w:t>
      </w:r>
      <w:r>
        <w:rPr>
          <w:sz w:val="20"/>
          <w:szCs w:val="20"/>
        </w:rPr>
        <w:t xml:space="preserve">sentencia emitida en la </w:t>
      </w:r>
      <w:r w:rsidRPr="00B30C0B">
        <w:rPr>
          <w:sz w:val="20"/>
          <w:szCs w:val="20"/>
        </w:rPr>
        <w:t xml:space="preserve">acción de inconstitucionalidad </w:t>
      </w:r>
      <w:r>
        <w:rPr>
          <w:sz w:val="20"/>
          <w:szCs w:val="20"/>
        </w:rPr>
        <w:t>62/2022 y su acumulada 77/2022</w:t>
      </w:r>
      <w:r w:rsidRPr="00B30C0B">
        <w:rPr>
          <w:sz w:val="20"/>
          <w:szCs w:val="20"/>
        </w:rPr>
        <w:t xml:space="preserve"> fallada por el P</w:t>
      </w:r>
      <w:r>
        <w:rPr>
          <w:sz w:val="20"/>
          <w:szCs w:val="20"/>
        </w:rPr>
        <w:t>leno de esta Suprema Corte de Jus</w:t>
      </w:r>
      <w:r w:rsidRPr="005756A0">
        <w:rPr>
          <w:sz w:val="20"/>
          <w:szCs w:val="20"/>
        </w:rPr>
        <w:t xml:space="preserve">ticia de la Nación en su sesión del veintidós de agosto de dos mil veintidós, en el sentido siguiente: </w:t>
      </w:r>
      <w:r w:rsidRPr="005756A0">
        <w:rPr>
          <w:b/>
          <w:bCs/>
          <w:i/>
          <w:iCs/>
          <w:sz w:val="20"/>
          <w:szCs w:val="20"/>
          <w:lang w:val="es-ES"/>
        </w:rPr>
        <w:t>PRIMERO.</w:t>
      </w:r>
      <w:r w:rsidRPr="005756A0">
        <w:rPr>
          <w:i/>
          <w:iCs/>
          <w:sz w:val="20"/>
          <w:szCs w:val="20"/>
          <w:lang w:val="es-ES"/>
        </w:rPr>
        <w:t xml:space="preserve"> Es procedente y fundada la presente acción de inconstitucionalidad y su acumulada. </w:t>
      </w:r>
      <w:r w:rsidRPr="005756A0">
        <w:rPr>
          <w:b/>
          <w:bCs/>
          <w:i/>
          <w:iCs/>
          <w:sz w:val="20"/>
          <w:szCs w:val="20"/>
          <w:lang w:val="es-ES"/>
        </w:rPr>
        <w:t>SEGUNDO.</w:t>
      </w:r>
      <w:r w:rsidRPr="005756A0">
        <w:rPr>
          <w:i/>
          <w:iCs/>
          <w:sz w:val="20"/>
          <w:szCs w:val="20"/>
          <w:lang w:val="es-ES"/>
        </w:rPr>
        <w:t xml:space="preserve"> Se declara la invalidez del artículo 10, numeral 1, inciso h), de la Ley General del Sistema de Medios de Impugnación en Materia Electoral, adicionado mediante el DECRETO publicado en el Diario Oficial de la Federación el diecinueve de abril de dos mil veintidós, la cual surtirá sus efectos a partir de la notificación de estos puntos resolutivos al Congreso de la Unión, en términos de los apartados V y VI de esta decisión. </w:t>
      </w:r>
      <w:r w:rsidRPr="005756A0">
        <w:rPr>
          <w:b/>
          <w:bCs/>
          <w:i/>
          <w:iCs/>
          <w:sz w:val="20"/>
          <w:szCs w:val="20"/>
          <w:lang w:val="es-ES"/>
        </w:rPr>
        <w:t>TERCERO.</w:t>
      </w:r>
      <w:r w:rsidRPr="005756A0">
        <w:rPr>
          <w:i/>
          <w:iCs/>
          <w:sz w:val="20"/>
          <w:szCs w:val="20"/>
          <w:lang w:val="es-ES"/>
        </w:rPr>
        <w:t xml:space="preserve"> Publíquese esta resolución en el Diario Oficial de la Federación, así como en el Semanario Judicial de la Federación y su Gaceta.</w:t>
      </w:r>
      <w:r w:rsidRPr="005756A0">
        <w:rPr>
          <w:b/>
          <w:bCs/>
          <w:sz w:val="20"/>
          <w:szCs w:val="20"/>
          <w:lang w:val="es-ES"/>
        </w:rPr>
        <w:t xml:space="preserve"> Conste.</w:t>
      </w:r>
    </w:p>
    <w:sectPr w:rsidR="000804CF" w:rsidRPr="00E51638" w:rsidSect="00C07370">
      <w:headerReference w:type="first" r:id="rId19"/>
      <w:footerReference w:type="first" r:id="rId20"/>
      <w:pgSz w:w="12242" w:h="19442" w:code="10005"/>
      <w:pgMar w:top="2268" w:right="1327" w:bottom="1311" w:left="1701" w:header="1134" w:footer="35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BA14" w14:textId="77777777" w:rsidR="00B46856" w:rsidRDefault="00B46856" w:rsidP="00F15FD9">
      <w:pPr>
        <w:spacing w:before="0" w:after="0" w:line="240" w:lineRule="auto"/>
      </w:pPr>
      <w:r>
        <w:separator/>
      </w:r>
    </w:p>
  </w:endnote>
  <w:endnote w:type="continuationSeparator" w:id="0">
    <w:p w14:paraId="1D9F8ED9" w14:textId="77777777" w:rsidR="00B46856" w:rsidRDefault="00B46856" w:rsidP="00F15F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egrita">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753650"/>
      <w:docPartObj>
        <w:docPartGallery w:val="Page Numbers (Bottom of Page)"/>
        <w:docPartUnique/>
      </w:docPartObj>
    </w:sdtPr>
    <w:sdtEndPr>
      <w:rPr>
        <w:rFonts w:eastAsia="Times New Roman"/>
        <w:b/>
        <w:color w:val="000000" w:themeColor="text1"/>
        <w:sz w:val="28"/>
        <w:szCs w:val="28"/>
        <w:lang w:val="es-ES_tradnl" w:eastAsia="es-ES"/>
      </w:rPr>
    </w:sdtEndPr>
    <w:sdtContent>
      <w:p w14:paraId="5A08B97A" w14:textId="77777777" w:rsidR="00E37549" w:rsidRPr="00F10E2A" w:rsidRDefault="00E37549">
        <w:pPr>
          <w:pStyle w:val="Piedepgina"/>
          <w:jc w:val="center"/>
          <w:rPr>
            <w:rFonts w:eastAsia="Times New Roman"/>
            <w:b/>
            <w:color w:val="000000" w:themeColor="text1"/>
            <w:sz w:val="28"/>
            <w:szCs w:val="28"/>
            <w:lang w:val="es-ES_tradnl" w:eastAsia="es-ES"/>
          </w:rPr>
        </w:pPr>
        <w:r w:rsidRPr="00F10E2A">
          <w:rPr>
            <w:rFonts w:eastAsia="Times New Roman"/>
            <w:b/>
            <w:color w:val="000000" w:themeColor="text1"/>
            <w:sz w:val="28"/>
            <w:szCs w:val="28"/>
            <w:lang w:val="es-ES_tradnl" w:eastAsia="es-ES"/>
          </w:rPr>
          <w:fldChar w:fldCharType="begin"/>
        </w:r>
        <w:r w:rsidRPr="00F10E2A">
          <w:rPr>
            <w:rFonts w:eastAsia="Times New Roman"/>
            <w:b/>
            <w:color w:val="000000" w:themeColor="text1"/>
            <w:sz w:val="28"/>
            <w:szCs w:val="28"/>
            <w:lang w:val="es-ES_tradnl" w:eastAsia="es-ES"/>
          </w:rPr>
          <w:instrText>PAGE   \* MERGEFORMAT</w:instrText>
        </w:r>
        <w:r w:rsidRPr="00F10E2A">
          <w:rPr>
            <w:rFonts w:eastAsia="Times New Roman"/>
            <w:b/>
            <w:color w:val="000000" w:themeColor="text1"/>
            <w:sz w:val="28"/>
            <w:szCs w:val="28"/>
            <w:lang w:val="es-ES_tradnl" w:eastAsia="es-ES"/>
          </w:rPr>
          <w:fldChar w:fldCharType="separate"/>
        </w:r>
        <w:r w:rsidRPr="00F10E2A">
          <w:rPr>
            <w:rFonts w:eastAsia="Times New Roman"/>
            <w:b/>
            <w:color w:val="000000" w:themeColor="text1"/>
            <w:sz w:val="28"/>
            <w:szCs w:val="28"/>
            <w:lang w:val="es-ES_tradnl" w:eastAsia="es-ES"/>
          </w:rPr>
          <w:t>2</w:t>
        </w:r>
        <w:r w:rsidRPr="00F10E2A">
          <w:rPr>
            <w:rFonts w:eastAsia="Times New Roman"/>
            <w:b/>
            <w:color w:val="000000" w:themeColor="text1"/>
            <w:sz w:val="28"/>
            <w:szCs w:val="28"/>
            <w:lang w:val="es-ES_tradnl" w:eastAsia="es-ES"/>
          </w:rPr>
          <w:fldChar w:fldCharType="end"/>
        </w:r>
      </w:p>
    </w:sdtContent>
  </w:sdt>
  <w:p w14:paraId="1BC05789" w14:textId="77777777" w:rsidR="0046524E" w:rsidRPr="007D65F1" w:rsidRDefault="002F2365" w:rsidP="00E37549">
    <w:pPr>
      <w:pStyle w:val="Piedepgina"/>
      <w:tabs>
        <w:tab w:val="clear" w:pos="4419"/>
        <w:tab w:val="clear" w:pos="8838"/>
        <w:tab w:val="center" w:pos="4252"/>
        <w:tab w:val="right" w:pos="8504"/>
      </w:tabs>
      <w:jc w:val="center"/>
      <w:rPr>
        <w:rFonts w:eastAsia="Times New Roman"/>
        <w:b/>
        <w:bCs/>
        <w:noProof/>
        <w:lang w:val="es-ES_tradnl"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535023"/>
      <w:docPartObj>
        <w:docPartGallery w:val="Page Numbers (Bottom of Page)"/>
        <w:docPartUnique/>
      </w:docPartObj>
    </w:sdtPr>
    <w:sdtEndPr>
      <w:rPr>
        <w:b/>
        <w:bCs/>
      </w:rPr>
    </w:sdtEndPr>
    <w:sdtContent>
      <w:p w14:paraId="1C295285" w14:textId="77777777" w:rsidR="006107E5" w:rsidRPr="007D65F1" w:rsidRDefault="006107E5" w:rsidP="00E37549">
        <w:pPr>
          <w:pStyle w:val="Piedepgina"/>
          <w:jc w:val="center"/>
          <w:rPr>
            <w:b/>
            <w:bCs/>
          </w:rPr>
        </w:pPr>
        <w:r w:rsidRPr="007D65F1">
          <w:rPr>
            <w:b/>
            <w:bCs/>
          </w:rPr>
          <w:fldChar w:fldCharType="begin"/>
        </w:r>
        <w:r w:rsidRPr="007D65F1">
          <w:rPr>
            <w:b/>
            <w:bCs/>
          </w:rPr>
          <w:instrText>PAGE   \* MERGEFORMAT</w:instrText>
        </w:r>
        <w:r w:rsidRPr="007D65F1">
          <w:rPr>
            <w:b/>
            <w:bCs/>
          </w:rPr>
          <w:fldChar w:fldCharType="separate"/>
        </w:r>
        <w:r w:rsidRPr="007D65F1">
          <w:rPr>
            <w:b/>
            <w:bCs/>
            <w:lang w:val="es-ES"/>
          </w:rPr>
          <w:t>2</w:t>
        </w:r>
        <w:r w:rsidRPr="007D65F1">
          <w:rPr>
            <w:b/>
            <w:bCs/>
          </w:rPr>
          <w:fldChar w:fldCharType="end"/>
        </w:r>
      </w:p>
    </w:sdtContent>
  </w:sdt>
  <w:p w14:paraId="784F8869" w14:textId="77777777" w:rsidR="009C17E5" w:rsidRPr="007D65F1" w:rsidRDefault="009C17E5" w:rsidP="00E37549">
    <w:pPr>
      <w:pStyle w:val="Piedepgina"/>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5B63" w14:textId="77777777" w:rsidR="006107E5" w:rsidRDefault="006107E5">
    <w:pPr>
      <w:pStyle w:val="Piedepgina"/>
      <w:jc w:val="center"/>
    </w:pPr>
  </w:p>
  <w:p w14:paraId="699DAA32" w14:textId="77777777" w:rsidR="006107E5" w:rsidRDefault="006107E5" w:rsidP="00A92E0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EAF5" w14:textId="77777777" w:rsidR="00B46856" w:rsidRDefault="00B46856" w:rsidP="00F15FD9">
      <w:pPr>
        <w:spacing w:before="0" w:after="0" w:line="240" w:lineRule="auto"/>
      </w:pPr>
      <w:r>
        <w:separator/>
      </w:r>
    </w:p>
  </w:footnote>
  <w:footnote w:type="continuationSeparator" w:id="0">
    <w:p w14:paraId="273E7C95" w14:textId="77777777" w:rsidR="00B46856" w:rsidRDefault="00B46856" w:rsidP="00F15FD9">
      <w:pPr>
        <w:spacing w:before="0" w:after="0" w:line="240" w:lineRule="auto"/>
      </w:pPr>
      <w:r>
        <w:continuationSeparator/>
      </w:r>
    </w:p>
  </w:footnote>
  <w:footnote w:id="1">
    <w:p w14:paraId="209318E9" w14:textId="77777777" w:rsidR="0033528A" w:rsidRPr="005C2C2B" w:rsidRDefault="0033528A"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b/>
          <w:bCs/>
          <w:color w:val="000000" w:themeColor="text1"/>
          <w:sz w:val="22"/>
          <w:szCs w:val="22"/>
        </w:rPr>
        <w:t>Artículo 105.</w:t>
      </w:r>
      <w:r w:rsidRPr="005C2C2B">
        <w:rPr>
          <w:color w:val="000000" w:themeColor="text1"/>
          <w:sz w:val="22"/>
          <w:szCs w:val="22"/>
        </w:rPr>
        <w:t xml:space="preserve"> La Suprema Corte de Justicia de la Nación conocerá, en los términos que señale la ley reglamentaria, de los asuntos siguientes: (…)</w:t>
      </w:r>
    </w:p>
    <w:p w14:paraId="462F5A77" w14:textId="77777777" w:rsidR="0033528A" w:rsidRPr="005C2C2B" w:rsidRDefault="0033528A" w:rsidP="00C07370">
      <w:pPr>
        <w:pStyle w:val="Textonotapie"/>
        <w:rPr>
          <w:color w:val="000000" w:themeColor="text1"/>
          <w:sz w:val="22"/>
          <w:szCs w:val="22"/>
        </w:rPr>
      </w:pPr>
      <w:r w:rsidRPr="005C2C2B">
        <w:rPr>
          <w:b/>
          <w:bCs/>
          <w:color w:val="000000" w:themeColor="text1"/>
          <w:sz w:val="22"/>
          <w:szCs w:val="22"/>
        </w:rPr>
        <w:t xml:space="preserve">II. </w:t>
      </w:r>
      <w:r w:rsidRPr="005C2C2B">
        <w:rPr>
          <w:color w:val="000000" w:themeColor="text1"/>
          <w:sz w:val="22"/>
          <w:szCs w:val="22"/>
        </w:rPr>
        <w:t>De las acciones de inconstitucionalidad que tengan por objeto plantear la posible contradicción entre una norma de carácter general y esta Constitución. (…)</w:t>
      </w:r>
    </w:p>
    <w:p w14:paraId="21AE6D6F" w14:textId="77777777" w:rsidR="0033528A" w:rsidRPr="005C2C2B" w:rsidRDefault="0033528A" w:rsidP="00C07370">
      <w:pPr>
        <w:pStyle w:val="Textonotapie"/>
        <w:rPr>
          <w:color w:val="000000" w:themeColor="text1"/>
          <w:sz w:val="22"/>
          <w:szCs w:val="22"/>
        </w:rPr>
      </w:pPr>
      <w:r w:rsidRPr="005C2C2B">
        <w:rPr>
          <w:b/>
          <w:bCs/>
          <w:color w:val="000000" w:themeColor="text1"/>
          <w:sz w:val="22"/>
          <w:szCs w:val="22"/>
        </w:rPr>
        <w:t>b).</w:t>
      </w:r>
      <w:r w:rsidRPr="005C2C2B">
        <w:rPr>
          <w:color w:val="000000" w:themeColor="text1"/>
          <w:sz w:val="22"/>
          <w:szCs w:val="22"/>
        </w:rPr>
        <w:t xml:space="preserve"> El equivalente al treinta y tres por ciento de los integrantes del Senado, en contra de las leyes federales o de tratados internacionales celebrados por el Estado Mexicano; (…)</w:t>
      </w:r>
    </w:p>
    <w:p w14:paraId="3BA90BDF" w14:textId="77777777" w:rsidR="0033528A" w:rsidRPr="005C2C2B" w:rsidRDefault="0033528A" w:rsidP="00C07370">
      <w:pPr>
        <w:pStyle w:val="Textonotapie"/>
        <w:rPr>
          <w:color w:val="000000" w:themeColor="text1"/>
          <w:sz w:val="22"/>
          <w:szCs w:val="22"/>
        </w:rPr>
      </w:pPr>
      <w:r w:rsidRPr="005C2C2B">
        <w:rPr>
          <w:b/>
          <w:bCs/>
          <w:color w:val="000000" w:themeColor="text1"/>
          <w:sz w:val="22"/>
          <w:szCs w:val="22"/>
        </w:rPr>
        <w:t xml:space="preserve">f) </w:t>
      </w:r>
      <w:r w:rsidRPr="005C2C2B">
        <w:rPr>
          <w:color w:val="000000" w:themeColor="text1"/>
          <w:sz w:val="22"/>
          <w:szCs w:val="22"/>
        </w:rPr>
        <w:t>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 (…)”.</w:t>
      </w:r>
    </w:p>
  </w:footnote>
  <w:footnote w:id="2">
    <w:p w14:paraId="4EA3D667" w14:textId="77777777" w:rsidR="0033528A" w:rsidRPr="005C2C2B" w:rsidRDefault="0033528A"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b/>
          <w:bCs/>
          <w:color w:val="000000" w:themeColor="text1"/>
          <w:sz w:val="22"/>
          <w:szCs w:val="22"/>
        </w:rPr>
        <w:t>Artículo 1o.</w:t>
      </w:r>
      <w:r w:rsidRPr="005C2C2B">
        <w:rPr>
          <w:color w:val="000000" w:themeColor="text1"/>
          <w:sz w:val="22"/>
          <w:szCs w:val="22"/>
        </w:rPr>
        <w:t xml:space="preserve"> La Suprema Corte de Justicia de la Nación conocerá y resolverá con base en las disposiciones del presente Título, las controversias constitucionales en las que se hagan valer violaciones a la Constitución Política de los Estados Unidos Mexicanos, así como las acciones de inconstitucionalidad a que se refieren las fracciones I y II del artículo 105 de la Constitución Política de los Estados Unidos Mexicanos. A falta de disposición expresa, se estará a las prevenciones del Código Federal de Procedimientos Civiles”.</w:t>
      </w:r>
    </w:p>
  </w:footnote>
  <w:footnote w:id="3">
    <w:p w14:paraId="111E9E80" w14:textId="77777777" w:rsidR="0033528A" w:rsidRPr="005C2C2B" w:rsidRDefault="0033528A"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b/>
          <w:bCs/>
          <w:color w:val="000000" w:themeColor="text1"/>
          <w:sz w:val="22"/>
          <w:szCs w:val="22"/>
        </w:rPr>
        <w:t>Artículo 10.</w:t>
      </w:r>
      <w:r w:rsidRPr="005C2C2B">
        <w:rPr>
          <w:color w:val="000000" w:themeColor="text1"/>
          <w:sz w:val="22"/>
          <w:szCs w:val="22"/>
        </w:rPr>
        <w:t xml:space="preserve"> La Suprema Corte de Justicia de la Nación conocerá funcionando en Pleno:</w:t>
      </w:r>
    </w:p>
    <w:p w14:paraId="5EB34DD2" w14:textId="77777777" w:rsidR="0033528A" w:rsidRPr="005C2C2B" w:rsidRDefault="0033528A" w:rsidP="00C07370">
      <w:pPr>
        <w:pStyle w:val="Textonotapie"/>
        <w:rPr>
          <w:color w:val="000000" w:themeColor="text1"/>
          <w:sz w:val="22"/>
          <w:szCs w:val="22"/>
        </w:rPr>
      </w:pPr>
      <w:r w:rsidRPr="005C2C2B">
        <w:rPr>
          <w:b/>
          <w:bCs/>
          <w:color w:val="000000" w:themeColor="text1"/>
          <w:sz w:val="22"/>
          <w:szCs w:val="22"/>
        </w:rPr>
        <w:t>I.</w:t>
      </w:r>
      <w:r w:rsidRPr="005C2C2B">
        <w:rPr>
          <w:color w:val="000000" w:themeColor="text1"/>
          <w:sz w:val="22"/>
          <w:szCs w:val="22"/>
        </w:rPr>
        <w:t xml:space="preserve"> De las controversias constitucionales y acciones de inconstitucionalidad a que se refieren las fracciones I y II del artículo 105 de la Constitución Política de los Estados Unidos Mexicanos; (…)”.</w:t>
      </w:r>
    </w:p>
  </w:footnote>
  <w:footnote w:id="4">
    <w:p w14:paraId="1E5DE43B" w14:textId="77777777" w:rsidR="00136E0E" w:rsidRPr="005C2C2B" w:rsidRDefault="00136E0E"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b/>
          <w:bCs/>
          <w:color w:val="000000" w:themeColor="text1"/>
          <w:sz w:val="22"/>
          <w:szCs w:val="22"/>
        </w:rPr>
        <w:t>Artículo 60.</w:t>
      </w:r>
      <w:r w:rsidRPr="005C2C2B">
        <w:rPr>
          <w:color w:val="000000" w:themeColor="text1"/>
          <w:sz w:val="22"/>
          <w:szCs w:val="22"/>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w:t>
      </w:r>
    </w:p>
    <w:p w14:paraId="13096116" w14:textId="77777777" w:rsidR="00136E0E" w:rsidRPr="005C2C2B" w:rsidRDefault="00136E0E" w:rsidP="00C07370">
      <w:pPr>
        <w:pStyle w:val="Textonotapie"/>
        <w:rPr>
          <w:color w:val="000000" w:themeColor="text1"/>
          <w:sz w:val="22"/>
          <w:szCs w:val="22"/>
        </w:rPr>
      </w:pPr>
      <w:r w:rsidRPr="005C2C2B">
        <w:rPr>
          <w:color w:val="000000" w:themeColor="text1"/>
          <w:sz w:val="22"/>
          <w:szCs w:val="22"/>
        </w:rPr>
        <w:t>En materia electoral, para el cómputo de los plazos, todos los días son hábiles”.</w:t>
      </w:r>
    </w:p>
  </w:footnote>
  <w:footnote w:id="5">
    <w:p w14:paraId="67688F05" w14:textId="77777777" w:rsidR="00AC7F54" w:rsidRPr="005C2C2B" w:rsidRDefault="00AC7F54"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b/>
          <w:bCs/>
          <w:color w:val="000000" w:themeColor="text1"/>
          <w:sz w:val="22"/>
          <w:szCs w:val="22"/>
        </w:rPr>
        <w:t xml:space="preserve">Artículo 105. </w:t>
      </w:r>
      <w:r w:rsidRPr="005C2C2B">
        <w:rPr>
          <w:color w:val="000000" w:themeColor="text1"/>
          <w:sz w:val="22"/>
          <w:szCs w:val="22"/>
        </w:rPr>
        <w:t>La Suprema Corte de Justicia de la Nación conocerá, en los términos que señale la ley reglamentaria, de los asuntos siguientes:</w:t>
      </w:r>
    </w:p>
    <w:p w14:paraId="3143B15F" w14:textId="77777777" w:rsidR="00AC7F54" w:rsidRPr="005C2C2B" w:rsidRDefault="00AC7F54" w:rsidP="00C07370">
      <w:pPr>
        <w:pStyle w:val="Textonotapie"/>
        <w:rPr>
          <w:color w:val="000000" w:themeColor="text1"/>
          <w:sz w:val="22"/>
          <w:szCs w:val="22"/>
        </w:rPr>
      </w:pPr>
      <w:r w:rsidRPr="005C2C2B">
        <w:rPr>
          <w:b/>
          <w:bCs/>
          <w:color w:val="000000" w:themeColor="text1"/>
          <w:sz w:val="22"/>
          <w:szCs w:val="22"/>
        </w:rPr>
        <w:t xml:space="preserve">II. </w:t>
      </w:r>
      <w:r w:rsidRPr="005C2C2B">
        <w:rPr>
          <w:color w:val="000000" w:themeColor="text1"/>
          <w:sz w:val="22"/>
          <w:szCs w:val="22"/>
        </w:rPr>
        <w:t>De las acciones de inconstitucionalidad que tengan por objeto plantear la posible contradicción entre una norma de carácter general y esta Constitución.</w:t>
      </w:r>
    </w:p>
    <w:p w14:paraId="0CF85B56" w14:textId="77777777" w:rsidR="00AC7F54" w:rsidRPr="005C2C2B" w:rsidRDefault="00AC7F54" w:rsidP="00C07370">
      <w:pPr>
        <w:pStyle w:val="Textonotapie"/>
        <w:rPr>
          <w:color w:val="000000" w:themeColor="text1"/>
          <w:sz w:val="22"/>
          <w:szCs w:val="22"/>
        </w:rPr>
      </w:pPr>
      <w:r w:rsidRPr="005C2C2B">
        <w:rPr>
          <w:color w:val="000000" w:themeColor="text1"/>
          <w:sz w:val="22"/>
          <w:szCs w:val="22"/>
        </w:rPr>
        <w:t>Las acciones de inconstitucionalidad podrán ejercitarse, dentro de los treinta días naturales siguientes a la fecha de publicación de la norma, por: (…)</w:t>
      </w:r>
    </w:p>
    <w:p w14:paraId="2ED4B335" w14:textId="77777777" w:rsidR="00AC7F54" w:rsidRPr="005C2C2B" w:rsidRDefault="00AC7F54" w:rsidP="00C07370">
      <w:pPr>
        <w:pStyle w:val="Textonotapie"/>
        <w:rPr>
          <w:color w:val="000000" w:themeColor="text1"/>
          <w:sz w:val="22"/>
          <w:szCs w:val="22"/>
        </w:rPr>
      </w:pPr>
      <w:r w:rsidRPr="005C2C2B">
        <w:rPr>
          <w:b/>
          <w:bCs/>
          <w:color w:val="000000" w:themeColor="text1"/>
          <w:sz w:val="22"/>
          <w:szCs w:val="22"/>
        </w:rPr>
        <w:t>f)</w:t>
      </w:r>
      <w:r w:rsidRPr="005C2C2B">
        <w:rPr>
          <w:color w:val="000000" w:themeColor="text1"/>
          <w:sz w:val="22"/>
          <w:szCs w:val="22"/>
        </w:rPr>
        <w:t xml:space="preserve">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 (…)”.</w:t>
      </w:r>
    </w:p>
  </w:footnote>
  <w:footnote w:id="6">
    <w:p w14:paraId="1F7C119D" w14:textId="77777777" w:rsidR="00AC7F54" w:rsidRPr="005C2C2B" w:rsidRDefault="00AC7F54"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b/>
          <w:bCs/>
          <w:color w:val="000000" w:themeColor="text1"/>
          <w:sz w:val="22"/>
          <w:szCs w:val="22"/>
        </w:rPr>
        <w:t>Artículo 62.</w:t>
      </w:r>
      <w:r w:rsidRPr="005C2C2B">
        <w:rPr>
          <w:color w:val="000000" w:themeColor="text1"/>
          <w:sz w:val="22"/>
          <w:szCs w:val="22"/>
        </w:rPr>
        <w:t xml:space="preserve"> (…)</w:t>
      </w:r>
    </w:p>
    <w:p w14:paraId="75BC7478" w14:textId="77777777" w:rsidR="00AC7F54" w:rsidRPr="005C2C2B" w:rsidRDefault="00AC7F54" w:rsidP="00C07370">
      <w:pPr>
        <w:pStyle w:val="Textonotapie"/>
        <w:rPr>
          <w:color w:val="000000" w:themeColor="text1"/>
          <w:sz w:val="22"/>
          <w:szCs w:val="22"/>
        </w:rPr>
      </w:pPr>
      <w:r w:rsidRPr="005C2C2B">
        <w:rPr>
          <w:color w:val="000000" w:themeColor="text1"/>
          <w:sz w:val="22"/>
          <w:szCs w:val="22"/>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footnote>
  <w:footnote w:id="7">
    <w:p w14:paraId="095F25AF" w14:textId="77777777" w:rsidR="00AC7F54" w:rsidRPr="005C2C2B" w:rsidRDefault="00AC7F54" w:rsidP="00C07370">
      <w:pPr>
        <w:spacing w:before="0" w:after="0" w:line="240" w:lineRule="auto"/>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b/>
          <w:bCs/>
          <w:color w:val="000000" w:themeColor="text1"/>
          <w:sz w:val="22"/>
          <w:szCs w:val="22"/>
        </w:rPr>
        <w:t>Artículo 20.</w:t>
      </w:r>
    </w:p>
    <w:p w14:paraId="22354E04" w14:textId="77777777" w:rsidR="00AC7F54" w:rsidRPr="005C2C2B" w:rsidRDefault="00AC7F54" w:rsidP="00C07370">
      <w:pPr>
        <w:spacing w:before="0" w:after="0" w:line="240" w:lineRule="auto"/>
        <w:rPr>
          <w:color w:val="000000" w:themeColor="text1"/>
          <w:sz w:val="22"/>
          <w:szCs w:val="22"/>
        </w:rPr>
      </w:pPr>
      <w:r w:rsidRPr="005C2C2B">
        <w:rPr>
          <w:color w:val="000000" w:themeColor="text1"/>
          <w:sz w:val="22"/>
          <w:szCs w:val="22"/>
        </w:rPr>
        <w:t>De la Comisión Operativa Nacional (…)</w:t>
      </w:r>
    </w:p>
    <w:p w14:paraId="71FEC611" w14:textId="77777777" w:rsidR="00AC7F54" w:rsidRPr="005C2C2B" w:rsidRDefault="00AC7F54" w:rsidP="00C07370">
      <w:pPr>
        <w:spacing w:before="0" w:after="0" w:line="240" w:lineRule="auto"/>
        <w:rPr>
          <w:color w:val="000000" w:themeColor="text1"/>
          <w:sz w:val="22"/>
          <w:szCs w:val="22"/>
        </w:rPr>
      </w:pPr>
      <w:r w:rsidRPr="005C2C2B">
        <w:rPr>
          <w:color w:val="000000" w:themeColor="text1"/>
          <w:sz w:val="22"/>
          <w:szCs w:val="22"/>
        </w:rPr>
        <w:t>2. Son atribuciones y facultades de la Comisión Operativa Nacional:</w:t>
      </w:r>
    </w:p>
    <w:p w14:paraId="5601797A" w14:textId="77777777" w:rsidR="00AC7F54" w:rsidRPr="005C2C2B" w:rsidRDefault="00AC7F54" w:rsidP="00C07370">
      <w:pPr>
        <w:spacing w:before="0" w:after="0" w:line="240" w:lineRule="auto"/>
        <w:rPr>
          <w:color w:val="000000" w:themeColor="text1"/>
          <w:sz w:val="22"/>
          <w:szCs w:val="22"/>
        </w:rPr>
      </w:pPr>
      <w:r w:rsidRPr="005C2C2B">
        <w:rPr>
          <w:color w:val="000000" w:themeColor="text1"/>
          <w:sz w:val="22"/>
          <w:szCs w:val="22"/>
        </w:rPr>
        <w:t>a) Ejercer la representación política y legal de Movimiento Ciudadano en todo tipo de asuntos de carácter judicial, político, electoral, administrativo, patrimonial y para delegar poderes y/o establecer convenios en los marcos de la legislación vigente. A excepción de la titularidad y representación laboral, que será en términos de lo establecido en el Artículo 35, numeral 9 de los estatutos (…)</w:t>
      </w:r>
    </w:p>
    <w:p w14:paraId="119E2E8A" w14:textId="77777777" w:rsidR="00AC7F54" w:rsidRPr="005C2C2B" w:rsidRDefault="00AC7F54" w:rsidP="00C07370">
      <w:pPr>
        <w:spacing w:before="0" w:after="0" w:line="240" w:lineRule="auto"/>
        <w:rPr>
          <w:color w:val="000000" w:themeColor="text1"/>
          <w:sz w:val="22"/>
          <w:szCs w:val="22"/>
        </w:rPr>
      </w:pPr>
      <w:r w:rsidRPr="005C2C2B">
        <w:rPr>
          <w:color w:val="000000" w:themeColor="text1"/>
          <w:sz w:val="22"/>
          <w:szCs w:val="22"/>
        </w:rPr>
        <w:t>o) Para interponer, en términos de la fracción II del Artículo 105 de la Constitución Política de los Estados Unidos Mexicanos, las acciones de inconstitucionalidad en materia electoral. (…)”.</w:t>
      </w:r>
    </w:p>
  </w:footnote>
  <w:footnote w:id="8">
    <w:p w14:paraId="720EE2D1" w14:textId="1BF8EC89" w:rsidR="006B23D7" w:rsidRPr="005C2C2B" w:rsidRDefault="006B23D7" w:rsidP="00C07370">
      <w:pPr>
        <w:spacing w:before="0" w:after="0" w:line="240" w:lineRule="auto"/>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9D6E12" w:rsidRPr="005C2C2B">
        <w:rPr>
          <w:color w:val="000000" w:themeColor="text1"/>
          <w:sz w:val="22"/>
          <w:szCs w:val="22"/>
        </w:rPr>
        <w:t>“</w:t>
      </w:r>
      <w:r w:rsidRPr="005C2C2B">
        <w:rPr>
          <w:b/>
          <w:bCs/>
          <w:color w:val="000000" w:themeColor="text1"/>
          <w:sz w:val="22"/>
          <w:szCs w:val="22"/>
        </w:rPr>
        <w:t>Artículo 20.</w:t>
      </w:r>
    </w:p>
    <w:p w14:paraId="40205E0B" w14:textId="77777777" w:rsidR="006B23D7" w:rsidRPr="005C2C2B" w:rsidRDefault="006B23D7" w:rsidP="00C07370">
      <w:pPr>
        <w:spacing w:before="0" w:after="0" w:line="240" w:lineRule="auto"/>
        <w:rPr>
          <w:color w:val="000000" w:themeColor="text1"/>
          <w:sz w:val="22"/>
          <w:szCs w:val="22"/>
        </w:rPr>
      </w:pPr>
      <w:r w:rsidRPr="005C2C2B">
        <w:rPr>
          <w:color w:val="000000" w:themeColor="text1"/>
          <w:sz w:val="22"/>
          <w:szCs w:val="22"/>
        </w:rPr>
        <w:t>De la Comisión Operativa Nacional</w:t>
      </w:r>
    </w:p>
    <w:p w14:paraId="34C4980D" w14:textId="56481A1D" w:rsidR="006B23D7" w:rsidRPr="005C2C2B" w:rsidRDefault="006B23D7" w:rsidP="00C07370">
      <w:pPr>
        <w:spacing w:before="0" w:after="0" w:line="240" w:lineRule="auto"/>
        <w:rPr>
          <w:color w:val="000000" w:themeColor="text1"/>
          <w:sz w:val="22"/>
          <w:szCs w:val="22"/>
        </w:rPr>
      </w:pPr>
      <w:r w:rsidRPr="005C2C2B">
        <w:rPr>
          <w:color w:val="000000" w:themeColor="text1"/>
          <w:sz w:val="22"/>
          <w:szCs w:val="22"/>
        </w:rPr>
        <w:t>1. La Comisión Operativa Nacional se forma por nueve integrantes y será elegida entre las personas integrantes</w:t>
      </w:r>
      <w:r w:rsidRPr="005C2C2B">
        <w:rPr>
          <w:b/>
          <w:bCs/>
          <w:color w:val="000000" w:themeColor="text1"/>
          <w:sz w:val="22"/>
          <w:szCs w:val="22"/>
        </w:rPr>
        <w:t xml:space="preserve"> </w:t>
      </w:r>
      <w:r w:rsidRPr="005C2C2B">
        <w:rPr>
          <w:color w:val="000000" w:themeColor="text1"/>
          <w:sz w:val="22"/>
          <w:szCs w:val="22"/>
        </w:rPr>
        <w:t>numerarias de la Coordinadora Ciudadana Nacional para un periodo de tres años por la mayoría absoluta de votos de la Convención Nacional Democrática, ostenta la representación política y legal de Movimiento Ciudadano y de su dirección nacional. Sus sesiones deberán ser convocadas por lo menos con tres días de anticipación de manera ordinaria cada quince días y de manera extraordinaria en su caso, con un día de anticipación, cuando así se requiera por cualquiera de sus integrantes. El quórum legal para sesionar se constituirá con la asistencia de la mayoría de sus integrantes. Todos los acuerdos, resoluciones y actos de la Comisión Operativa Nacional tendrán plena validez, con la aprobación y firma de la mayoría, y en caso de urgencia suscritos únicamente con la firma de la coordinadora</w:t>
      </w:r>
      <w:r w:rsidRPr="005C2C2B">
        <w:rPr>
          <w:b/>
          <w:bCs/>
          <w:color w:val="000000" w:themeColor="text1"/>
          <w:sz w:val="22"/>
          <w:szCs w:val="22"/>
        </w:rPr>
        <w:t xml:space="preserve"> </w:t>
      </w:r>
      <w:r w:rsidRPr="005C2C2B">
        <w:rPr>
          <w:color w:val="000000" w:themeColor="text1"/>
          <w:sz w:val="22"/>
          <w:szCs w:val="22"/>
        </w:rPr>
        <w:t>o coordinador, en términos de lo previsto por el Articulo 21 numeral 5, de los presentes Estatutos.</w:t>
      </w:r>
      <w:r w:rsidR="004C789E">
        <w:rPr>
          <w:color w:val="000000" w:themeColor="text1"/>
          <w:sz w:val="22"/>
          <w:szCs w:val="22"/>
        </w:rPr>
        <w:t xml:space="preserve"> </w:t>
      </w:r>
      <w:r w:rsidRPr="005C2C2B">
        <w:rPr>
          <w:color w:val="000000" w:themeColor="text1"/>
          <w:sz w:val="22"/>
          <w:szCs w:val="22"/>
        </w:rPr>
        <w:t>(…)</w:t>
      </w:r>
      <w:r w:rsidR="009D6E12" w:rsidRPr="005C2C2B">
        <w:rPr>
          <w:color w:val="000000" w:themeColor="text1"/>
          <w:sz w:val="22"/>
          <w:szCs w:val="22"/>
        </w:rPr>
        <w:t>”</w:t>
      </w:r>
      <w:r w:rsidRPr="005C2C2B">
        <w:rPr>
          <w:color w:val="000000" w:themeColor="text1"/>
          <w:sz w:val="22"/>
          <w:szCs w:val="22"/>
        </w:rPr>
        <w:t>.</w:t>
      </w:r>
    </w:p>
  </w:footnote>
  <w:footnote w:id="9">
    <w:p w14:paraId="0B8C1B0D" w14:textId="77777777" w:rsidR="004C26C6" w:rsidRPr="005C2C2B" w:rsidRDefault="004C26C6" w:rsidP="00C07370">
      <w:pPr>
        <w:pStyle w:val="Estilo"/>
        <w:rPr>
          <w:rFonts w:cs="Arial"/>
          <w:color w:val="000000" w:themeColor="text1"/>
          <w:sz w:val="22"/>
        </w:rPr>
      </w:pPr>
      <w:r w:rsidRPr="005C2C2B">
        <w:rPr>
          <w:rStyle w:val="Refdenotaalpie"/>
          <w:rFonts w:cs="Arial"/>
          <w:color w:val="000000" w:themeColor="text1"/>
          <w:sz w:val="22"/>
        </w:rPr>
        <w:footnoteRef/>
      </w:r>
      <w:r w:rsidRPr="005C2C2B">
        <w:rPr>
          <w:rFonts w:cs="Arial"/>
          <w:color w:val="000000" w:themeColor="text1"/>
          <w:sz w:val="22"/>
        </w:rPr>
        <w:t xml:space="preserve"> “</w:t>
      </w:r>
      <w:r w:rsidRPr="005C2C2B">
        <w:rPr>
          <w:rFonts w:cs="Arial"/>
          <w:b/>
          <w:bCs/>
          <w:color w:val="000000" w:themeColor="text1"/>
          <w:sz w:val="22"/>
        </w:rPr>
        <w:t>Artículo 62.</w:t>
      </w:r>
      <w:r w:rsidRPr="005C2C2B">
        <w:rPr>
          <w:rFonts w:cs="Arial"/>
          <w:color w:val="000000" w:themeColor="text1"/>
          <w:sz w:val="22"/>
        </w:rPr>
        <w:t xml:space="preserve"> 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 (…)”.</w:t>
      </w:r>
    </w:p>
  </w:footnote>
  <w:footnote w:id="10">
    <w:p w14:paraId="035AD36D" w14:textId="77777777" w:rsidR="004C26C6" w:rsidRPr="005C2C2B" w:rsidRDefault="004C26C6" w:rsidP="00C07370">
      <w:pPr>
        <w:pStyle w:val="Textonotapie"/>
        <w:rPr>
          <w:rStyle w:val="articulojustificado"/>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rStyle w:val="articulojustificado"/>
          <w:b/>
          <w:bCs/>
          <w:color w:val="000000" w:themeColor="text1"/>
          <w:sz w:val="22"/>
          <w:szCs w:val="22"/>
        </w:rPr>
        <w:t>Artículo 56.</w:t>
      </w:r>
      <w:r w:rsidRPr="005C2C2B">
        <w:rPr>
          <w:rStyle w:val="articulojustificado"/>
          <w:color w:val="000000" w:themeColor="text1"/>
          <w:sz w:val="22"/>
          <w:szCs w:val="22"/>
        </w:rPr>
        <w:t xml:space="preserve"> 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w:t>
      </w:r>
    </w:p>
    <w:p w14:paraId="4E6D9FF7" w14:textId="77777777" w:rsidR="004C26C6" w:rsidRPr="005C2C2B" w:rsidRDefault="004C26C6" w:rsidP="00C07370">
      <w:pPr>
        <w:pStyle w:val="Textonotapie"/>
        <w:rPr>
          <w:rStyle w:val="articulojustificado"/>
          <w:color w:val="000000" w:themeColor="text1"/>
          <w:sz w:val="22"/>
          <w:szCs w:val="22"/>
        </w:rPr>
      </w:pPr>
      <w:r w:rsidRPr="005C2C2B">
        <w:rPr>
          <w:rStyle w:val="articulojustificado"/>
          <w:color w:val="000000" w:themeColor="text1"/>
          <w:sz w:val="22"/>
          <w:szCs w:val="22"/>
        </w:rPr>
        <w:t>Las treinta y dos senadurías restantes serán elegidas según el principio de representación proporcional, mediante el sistema de listas votadas en una sola circunscripción plurinominal nacional, conformadas de acuerdo con el principio de paridad, y encabezadas alternadamente entre mujeres y hombres cada periodo electivo. La ley establecerá las reglas y fórmulas para estos efectos.</w:t>
      </w:r>
    </w:p>
    <w:p w14:paraId="5E9E9661" w14:textId="77777777" w:rsidR="004C26C6" w:rsidRPr="005C2C2B" w:rsidRDefault="004C26C6" w:rsidP="00C07370">
      <w:pPr>
        <w:pStyle w:val="Textonotapie"/>
        <w:rPr>
          <w:color w:val="000000" w:themeColor="text1"/>
          <w:sz w:val="22"/>
          <w:szCs w:val="22"/>
        </w:rPr>
      </w:pPr>
      <w:r w:rsidRPr="005C2C2B">
        <w:rPr>
          <w:rStyle w:val="articulojustificado"/>
          <w:color w:val="000000" w:themeColor="text1"/>
          <w:sz w:val="22"/>
          <w:szCs w:val="22"/>
        </w:rPr>
        <w:t>La Cámara de Senadores se renovará en su totalidad cada seis años”.</w:t>
      </w:r>
    </w:p>
  </w:footnote>
  <w:footnote w:id="11">
    <w:p w14:paraId="136CF73B" w14:textId="61C10460" w:rsidR="006B23D7" w:rsidRPr="005C2C2B" w:rsidRDefault="006B23D7"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DD27D3" w:rsidRPr="005C2C2B">
        <w:rPr>
          <w:color w:val="000000" w:themeColor="text1"/>
          <w:sz w:val="22"/>
          <w:szCs w:val="22"/>
        </w:rPr>
        <w:t>“</w:t>
      </w:r>
      <w:r w:rsidRPr="005C2C2B">
        <w:rPr>
          <w:b/>
          <w:bCs/>
          <w:color w:val="000000" w:themeColor="text1"/>
          <w:sz w:val="22"/>
          <w:szCs w:val="22"/>
        </w:rPr>
        <w:t>Artículo 19.</w:t>
      </w:r>
      <w:r w:rsidRPr="005C2C2B">
        <w:rPr>
          <w:color w:val="000000" w:themeColor="text1"/>
          <w:sz w:val="22"/>
          <w:szCs w:val="22"/>
        </w:rPr>
        <w:t xml:space="preserve"> Las controversias constitucionales son improcedentes: (…)</w:t>
      </w:r>
    </w:p>
    <w:p w14:paraId="56554DED" w14:textId="77777777" w:rsidR="006B23D7" w:rsidRPr="005C2C2B" w:rsidRDefault="006B23D7" w:rsidP="00C07370">
      <w:pPr>
        <w:pStyle w:val="Textonotapie"/>
        <w:rPr>
          <w:color w:val="000000" w:themeColor="text1"/>
          <w:sz w:val="22"/>
          <w:szCs w:val="22"/>
        </w:rPr>
      </w:pPr>
      <w:r w:rsidRPr="005C2C2B">
        <w:rPr>
          <w:b/>
          <w:bCs/>
          <w:color w:val="000000" w:themeColor="text1"/>
          <w:sz w:val="22"/>
          <w:szCs w:val="22"/>
        </w:rPr>
        <w:t>IX.</w:t>
      </w:r>
      <w:r w:rsidRPr="005C2C2B">
        <w:rPr>
          <w:color w:val="000000" w:themeColor="text1"/>
          <w:sz w:val="22"/>
          <w:szCs w:val="22"/>
        </w:rPr>
        <w:t xml:space="preserve"> En los demás casos en que la improcedencia resulte de alguna disposición de esta Ley.</w:t>
      </w:r>
    </w:p>
    <w:p w14:paraId="219B5F7B" w14:textId="470546C6" w:rsidR="006B23D7" w:rsidRPr="005C2C2B" w:rsidRDefault="006B23D7" w:rsidP="00C07370">
      <w:pPr>
        <w:pStyle w:val="Textonotapie"/>
        <w:rPr>
          <w:color w:val="000000" w:themeColor="text1"/>
          <w:sz w:val="22"/>
          <w:szCs w:val="22"/>
        </w:rPr>
      </w:pPr>
      <w:r w:rsidRPr="005C2C2B">
        <w:rPr>
          <w:color w:val="000000" w:themeColor="text1"/>
          <w:sz w:val="22"/>
          <w:szCs w:val="22"/>
        </w:rPr>
        <w:t>En todo caso, las causales de improcedencia deberán examinarse de oficio</w:t>
      </w:r>
      <w:r w:rsidR="00DD27D3" w:rsidRPr="005C2C2B">
        <w:rPr>
          <w:color w:val="000000" w:themeColor="text1"/>
          <w:sz w:val="22"/>
          <w:szCs w:val="22"/>
        </w:rPr>
        <w:t>”</w:t>
      </w:r>
      <w:r w:rsidRPr="005C2C2B">
        <w:rPr>
          <w:color w:val="000000" w:themeColor="text1"/>
          <w:sz w:val="22"/>
          <w:szCs w:val="22"/>
        </w:rPr>
        <w:t>.</w:t>
      </w:r>
    </w:p>
  </w:footnote>
  <w:footnote w:id="12">
    <w:p w14:paraId="60AAB81D" w14:textId="364DD03D" w:rsidR="006B23D7" w:rsidRPr="005C2C2B" w:rsidRDefault="006B23D7"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DD27D3" w:rsidRPr="005C2C2B">
        <w:rPr>
          <w:color w:val="000000" w:themeColor="text1"/>
          <w:sz w:val="22"/>
          <w:szCs w:val="22"/>
        </w:rPr>
        <w:t>“</w:t>
      </w:r>
      <w:r w:rsidRPr="005C2C2B">
        <w:rPr>
          <w:b/>
          <w:bCs/>
          <w:color w:val="000000" w:themeColor="text1"/>
          <w:sz w:val="22"/>
          <w:szCs w:val="22"/>
        </w:rPr>
        <w:t>Artículo 62.</w:t>
      </w:r>
      <w:r w:rsidRPr="005C2C2B">
        <w:rPr>
          <w:color w:val="000000" w:themeColor="text1"/>
          <w:sz w:val="22"/>
          <w:szCs w:val="22"/>
        </w:rPr>
        <w:t xml:space="preserve"> (…)</w:t>
      </w:r>
    </w:p>
    <w:p w14:paraId="106626DA" w14:textId="3299B42C" w:rsidR="006B23D7" w:rsidRPr="005C2C2B" w:rsidRDefault="006B23D7" w:rsidP="00C07370">
      <w:pPr>
        <w:pStyle w:val="Textonotapie"/>
        <w:rPr>
          <w:color w:val="000000" w:themeColor="text1"/>
          <w:sz w:val="22"/>
          <w:szCs w:val="22"/>
        </w:rPr>
      </w:pPr>
      <w:r w:rsidRPr="005C2C2B">
        <w:rPr>
          <w:color w:val="000000" w:themeColor="text1"/>
          <w:sz w:val="22"/>
          <w:szCs w:val="22"/>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 (…)</w:t>
      </w:r>
      <w:r w:rsidR="00DD27D3" w:rsidRPr="005C2C2B">
        <w:rPr>
          <w:color w:val="000000" w:themeColor="text1"/>
          <w:sz w:val="22"/>
          <w:szCs w:val="22"/>
        </w:rPr>
        <w:t>”</w:t>
      </w:r>
      <w:r w:rsidRPr="005C2C2B">
        <w:rPr>
          <w:color w:val="000000" w:themeColor="text1"/>
          <w:sz w:val="22"/>
          <w:szCs w:val="22"/>
        </w:rPr>
        <w:t>.</w:t>
      </w:r>
    </w:p>
  </w:footnote>
  <w:footnote w:id="13">
    <w:p w14:paraId="4681DF3E" w14:textId="77777777" w:rsidR="00596278" w:rsidRPr="005C2C2B" w:rsidRDefault="00596278"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b/>
          <w:bCs/>
          <w:color w:val="000000" w:themeColor="text1"/>
          <w:sz w:val="22"/>
          <w:szCs w:val="22"/>
        </w:rPr>
        <w:t xml:space="preserve">Artículo 105. </w:t>
      </w:r>
      <w:r w:rsidRPr="005C2C2B">
        <w:rPr>
          <w:color w:val="000000" w:themeColor="text1"/>
          <w:sz w:val="22"/>
          <w:szCs w:val="22"/>
        </w:rPr>
        <w:t>La Suprema Corte de Justicia de la Nación conocerá, en los términos que señale la ley reglamentaria, de los asuntos siguientes:</w:t>
      </w:r>
    </w:p>
    <w:p w14:paraId="7F5E15E7" w14:textId="77777777" w:rsidR="00596278" w:rsidRPr="005C2C2B" w:rsidRDefault="00596278" w:rsidP="00C07370">
      <w:pPr>
        <w:pStyle w:val="Textonotapie"/>
        <w:rPr>
          <w:color w:val="000000" w:themeColor="text1"/>
          <w:sz w:val="22"/>
          <w:szCs w:val="22"/>
        </w:rPr>
      </w:pPr>
      <w:r w:rsidRPr="005C2C2B">
        <w:rPr>
          <w:b/>
          <w:bCs/>
          <w:color w:val="000000" w:themeColor="text1"/>
          <w:sz w:val="22"/>
          <w:szCs w:val="22"/>
        </w:rPr>
        <w:t xml:space="preserve">II. </w:t>
      </w:r>
      <w:r w:rsidRPr="005C2C2B">
        <w:rPr>
          <w:color w:val="000000" w:themeColor="text1"/>
          <w:sz w:val="22"/>
          <w:szCs w:val="22"/>
        </w:rPr>
        <w:t>De las acciones de inconstitucionalidad que tengan por objeto plantear la posible contradicción entre una norma de carácter general y esta Constitución.</w:t>
      </w:r>
    </w:p>
    <w:p w14:paraId="577B2A97" w14:textId="77777777" w:rsidR="00596278" w:rsidRPr="005C2C2B" w:rsidRDefault="00596278" w:rsidP="00C07370">
      <w:pPr>
        <w:pStyle w:val="Textonotapie"/>
        <w:rPr>
          <w:color w:val="000000" w:themeColor="text1"/>
          <w:sz w:val="22"/>
          <w:szCs w:val="22"/>
        </w:rPr>
      </w:pPr>
      <w:r w:rsidRPr="005C2C2B">
        <w:rPr>
          <w:color w:val="000000" w:themeColor="text1"/>
          <w:sz w:val="22"/>
          <w:szCs w:val="22"/>
        </w:rPr>
        <w:t>Las acciones de inconstitucionalidad podrán ejercitarse, dentro de los treinta días naturales siguientes a la fecha de publicación de la norma, por: (…)</w:t>
      </w:r>
    </w:p>
    <w:p w14:paraId="2B1DBD72" w14:textId="77777777" w:rsidR="00596278" w:rsidRPr="005C2C2B" w:rsidRDefault="00596278" w:rsidP="00C07370">
      <w:pPr>
        <w:pStyle w:val="Textonotapie"/>
        <w:rPr>
          <w:color w:val="000000" w:themeColor="text1"/>
          <w:sz w:val="22"/>
          <w:szCs w:val="22"/>
        </w:rPr>
      </w:pPr>
      <w:r w:rsidRPr="005C2C2B">
        <w:rPr>
          <w:b/>
          <w:bCs/>
          <w:color w:val="000000" w:themeColor="text1"/>
          <w:sz w:val="22"/>
          <w:szCs w:val="22"/>
        </w:rPr>
        <w:t>f)</w:t>
      </w:r>
      <w:r w:rsidRPr="005C2C2B">
        <w:rPr>
          <w:color w:val="000000" w:themeColor="text1"/>
          <w:sz w:val="22"/>
          <w:szCs w:val="22"/>
        </w:rPr>
        <w:t xml:space="preserve">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 (…)”.</w:t>
      </w:r>
    </w:p>
  </w:footnote>
  <w:footnote w:id="14">
    <w:p w14:paraId="1A7964A3" w14:textId="45CD99B0" w:rsidR="00031C20" w:rsidRPr="005C2C2B" w:rsidRDefault="006B23D7"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031C20" w:rsidRPr="005C2C2B">
        <w:rPr>
          <w:b/>
          <w:bCs/>
          <w:color w:val="000000" w:themeColor="text1"/>
          <w:sz w:val="22"/>
          <w:szCs w:val="22"/>
        </w:rPr>
        <w:t>“</w:t>
      </w:r>
      <w:r w:rsidRPr="005C2C2B">
        <w:rPr>
          <w:b/>
          <w:bCs/>
          <w:color w:val="000000" w:themeColor="text1"/>
          <w:sz w:val="22"/>
          <w:szCs w:val="22"/>
        </w:rPr>
        <w:t>MATERIA ELECTORAL. DEFINICIÓN DE ÉSTA PARA EFECTOS DE LA PROCEDENCIA DE LA CONTROVERSIA CONSTITUCIONAL</w:t>
      </w:r>
      <w:r w:rsidR="00031C20" w:rsidRPr="005C2C2B">
        <w:rPr>
          <w:b/>
          <w:bCs/>
          <w:color w:val="000000" w:themeColor="text1"/>
          <w:sz w:val="22"/>
          <w:szCs w:val="22"/>
        </w:rPr>
        <w:t>.”</w:t>
      </w:r>
      <w:r w:rsidRPr="005C2C2B">
        <w:rPr>
          <w:color w:val="000000" w:themeColor="text1"/>
          <w:sz w:val="22"/>
          <w:szCs w:val="22"/>
        </w:rPr>
        <w:t xml:space="preserve"> </w:t>
      </w:r>
      <w:r w:rsidR="00031C20" w:rsidRPr="005C2C2B">
        <w:rPr>
          <w:color w:val="000000" w:themeColor="text1"/>
          <w:sz w:val="22"/>
          <w:szCs w:val="22"/>
        </w:rPr>
        <w:t>Registro 170703. [J]; 9a. Época; Pleno; S.J.F. y su Gaceta; Tomo XXVI, Diciembre de 2007; Pág. 1280. P./J. 125/2007.</w:t>
      </w:r>
    </w:p>
    <w:p w14:paraId="607D6053" w14:textId="60EE83DC" w:rsidR="006B23D7" w:rsidRPr="005C2C2B" w:rsidRDefault="006B23D7" w:rsidP="00C07370">
      <w:pPr>
        <w:pStyle w:val="Textonotapie"/>
        <w:rPr>
          <w:color w:val="000000" w:themeColor="text1"/>
          <w:sz w:val="22"/>
          <w:szCs w:val="22"/>
        </w:rPr>
      </w:pPr>
    </w:p>
  </w:footnote>
  <w:footnote w:id="15">
    <w:p w14:paraId="44E54650" w14:textId="4067052D" w:rsidR="006B23D7" w:rsidRPr="005C2C2B" w:rsidRDefault="006B23D7"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4E6C21" w:rsidRPr="005C2C2B">
        <w:rPr>
          <w:color w:val="000000" w:themeColor="text1"/>
          <w:sz w:val="22"/>
          <w:szCs w:val="22"/>
        </w:rPr>
        <w:t>Acción de inconstitucionalidad 132/2020, r</w:t>
      </w:r>
      <w:r w:rsidRPr="005C2C2B">
        <w:rPr>
          <w:color w:val="000000" w:themeColor="text1"/>
          <w:sz w:val="22"/>
          <w:szCs w:val="22"/>
        </w:rPr>
        <w:t xml:space="preserve">esuelta </w:t>
      </w:r>
      <w:r w:rsidR="004E6C21" w:rsidRPr="005C2C2B">
        <w:rPr>
          <w:color w:val="000000" w:themeColor="text1"/>
          <w:sz w:val="22"/>
          <w:szCs w:val="22"/>
        </w:rPr>
        <w:t>por el Pleno el 21</w:t>
      </w:r>
      <w:r w:rsidRPr="005C2C2B">
        <w:rPr>
          <w:color w:val="000000" w:themeColor="text1"/>
          <w:sz w:val="22"/>
          <w:szCs w:val="22"/>
        </w:rPr>
        <w:t xml:space="preserve"> de septiembre de </w:t>
      </w:r>
      <w:r w:rsidR="004E6C21" w:rsidRPr="005C2C2B">
        <w:rPr>
          <w:color w:val="000000" w:themeColor="text1"/>
          <w:sz w:val="22"/>
          <w:szCs w:val="22"/>
        </w:rPr>
        <w:t>2020</w:t>
      </w:r>
      <w:r w:rsidRPr="005C2C2B">
        <w:rPr>
          <w:color w:val="000000" w:themeColor="text1"/>
          <w:sz w:val="22"/>
          <w:szCs w:val="22"/>
        </w:rPr>
        <w:t>, por unanimidad de once votos de los Ministros Gutiérrez Ortiz Mena, González Alcántara Carrancá</w:t>
      </w:r>
      <w:r w:rsidR="002D1E61">
        <w:rPr>
          <w:color w:val="000000" w:themeColor="text1"/>
          <w:sz w:val="22"/>
          <w:szCs w:val="22"/>
        </w:rPr>
        <w:t xml:space="preserve"> (ponente)</w:t>
      </w:r>
      <w:r w:rsidRPr="005C2C2B">
        <w:rPr>
          <w:color w:val="000000" w:themeColor="text1"/>
          <w:sz w:val="22"/>
          <w:szCs w:val="22"/>
        </w:rPr>
        <w:t xml:space="preserve">, Esquivel Mossa, Franco González Salas, Aguilar Morales, Pardo Rebolledo, Piña Hernández, Ríos Farjat, </w:t>
      </w:r>
      <w:r w:rsidRPr="005C2C2B">
        <w:rPr>
          <w:color w:val="000000" w:themeColor="text1"/>
          <w:sz w:val="22"/>
          <w:szCs w:val="22"/>
          <w:lang w:val="es-ES"/>
        </w:rPr>
        <w:t xml:space="preserve">Laynez Potisek, Pérez Dayán y Presidente Zaldívar Lelo de Larrea, respecto del apartado VII, relativo a las consideraciones y fundamentos, en su tema 24, denominado “Regulación de la facultad de prevenir ante el incumplimiento de requisitos de la demanda”,  consistente en reconocer la validez del artículo 25, párrafo segundo, de la Ley de Medios de Impugnación en Materia Electoral del Estado de Querétaro, publicada en el periódico oficial de dicha entidad federativa el </w:t>
      </w:r>
      <w:r w:rsidR="004E6C21" w:rsidRPr="005C2C2B">
        <w:rPr>
          <w:color w:val="000000" w:themeColor="text1"/>
          <w:sz w:val="22"/>
          <w:szCs w:val="22"/>
          <w:lang w:val="es-ES"/>
        </w:rPr>
        <w:t xml:space="preserve">1 </w:t>
      </w:r>
      <w:r w:rsidRPr="005C2C2B">
        <w:rPr>
          <w:color w:val="000000" w:themeColor="text1"/>
          <w:sz w:val="22"/>
          <w:szCs w:val="22"/>
          <w:lang w:val="es-ES"/>
        </w:rPr>
        <w:t xml:space="preserve">de junio de </w:t>
      </w:r>
      <w:r w:rsidR="004E6C21" w:rsidRPr="005C2C2B">
        <w:rPr>
          <w:color w:val="000000" w:themeColor="text1"/>
          <w:sz w:val="22"/>
          <w:szCs w:val="22"/>
          <w:lang w:val="es-ES"/>
        </w:rPr>
        <w:t>2020</w:t>
      </w:r>
      <w:r w:rsidRPr="005C2C2B">
        <w:rPr>
          <w:color w:val="000000" w:themeColor="text1"/>
          <w:sz w:val="22"/>
          <w:szCs w:val="22"/>
          <w:lang w:val="es-ES"/>
        </w:rPr>
        <w:t>, al tenor de la interpretación conforme propuesta</w:t>
      </w:r>
      <w:r w:rsidR="004E6C21" w:rsidRPr="005C2C2B">
        <w:rPr>
          <w:color w:val="000000" w:themeColor="text1"/>
          <w:sz w:val="22"/>
          <w:szCs w:val="22"/>
          <w:lang w:val="es-ES"/>
        </w:rPr>
        <w:t>.</w:t>
      </w:r>
    </w:p>
  </w:footnote>
  <w:footnote w:id="16">
    <w:p w14:paraId="2AC75610" w14:textId="1A9A2819" w:rsidR="006B23D7" w:rsidRPr="005C2C2B" w:rsidRDefault="006B23D7"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4E6C21" w:rsidRPr="005C2C2B">
        <w:rPr>
          <w:color w:val="000000" w:themeColor="text1"/>
          <w:sz w:val="22"/>
          <w:szCs w:val="22"/>
        </w:rPr>
        <w:t>“</w:t>
      </w:r>
      <w:r w:rsidRPr="005C2C2B">
        <w:rPr>
          <w:b/>
          <w:color w:val="000000" w:themeColor="text1"/>
          <w:sz w:val="22"/>
          <w:szCs w:val="22"/>
        </w:rPr>
        <w:t>Artículo 25.</w:t>
      </w:r>
      <w:r w:rsidRPr="005C2C2B">
        <w:rPr>
          <w:color w:val="000000" w:themeColor="text1"/>
          <w:sz w:val="22"/>
          <w:szCs w:val="22"/>
        </w:rPr>
        <w:t xml:space="preserve"> En la interposición de los medios de impugnación, se deberá cumplir con los siguientes requisitos:</w:t>
      </w:r>
    </w:p>
    <w:p w14:paraId="3C3D65FA"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I.</w:t>
      </w:r>
      <w:r w:rsidRPr="005C2C2B">
        <w:rPr>
          <w:color w:val="000000" w:themeColor="text1"/>
          <w:sz w:val="22"/>
          <w:szCs w:val="22"/>
        </w:rPr>
        <w:t xml:space="preserve"> Formularse por escrito ante la autoridad señalada como responsable del acto o resolución impugnado, anexando las copias simples necesarias para correr traslado a las personas terceras interesadas; </w:t>
      </w:r>
    </w:p>
    <w:p w14:paraId="1A7DEA36"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II.</w:t>
      </w:r>
      <w:r w:rsidRPr="005C2C2B">
        <w:rPr>
          <w:color w:val="000000" w:themeColor="text1"/>
          <w:sz w:val="22"/>
          <w:szCs w:val="22"/>
        </w:rPr>
        <w:t xml:space="preserve"> Hacer constar el nombre de la parte actora y firma autógrafa o huella digital; en el caso de que se promueva por representante legítimo, nombre y firma autógrafa de quien promueve; </w:t>
      </w:r>
    </w:p>
    <w:p w14:paraId="6B8ECA8B"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III.</w:t>
      </w:r>
      <w:r w:rsidRPr="005C2C2B">
        <w:rPr>
          <w:color w:val="000000" w:themeColor="text1"/>
          <w:sz w:val="22"/>
          <w:szCs w:val="22"/>
        </w:rPr>
        <w:t xml:space="preserve"> Hacer constar el nombre y domicilio de las personas terceras interesadas, en su caso; </w:t>
      </w:r>
    </w:p>
    <w:p w14:paraId="5FFD27C9"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IV.</w:t>
      </w:r>
      <w:r w:rsidRPr="005C2C2B">
        <w:rPr>
          <w:color w:val="000000" w:themeColor="text1"/>
          <w:sz w:val="22"/>
          <w:szCs w:val="22"/>
        </w:rPr>
        <w:t xml:space="preserve"> Señalar domicilio para oír y recibir notificaciones, el cual deberá de estar ubicado en la ciudad de residencia de la autoridad que deba resolver el recurso correspondiente; </w:t>
      </w:r>
    </w:p>
    <w:p w14:paraId="0DEC3C70"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V.</w:t>
      </w:r>
      <w:r w:rsidRPr="005C2C2B">
        <w:rPr>
          <w:color w:val="000000" w:themeColor="text1"/>
          <w:sz w:val="22"/>
          <w:szCs w:val="22"/>
        </w:rPr>
        <w:t xml:space="preserve"> Acreditar la personería de quien promueve, anexando los documentos necesarios, salvo cuando se trate de representantes de los partidos políticos acreditados en el mismo órgano ante el cual se presenta el medio de impugnación respectivo; </w:t>
      </w:r>
    </w:p>
    <w:p w14:paraId="3AD7562D"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VI.</w:t>
      </w:r>
      <w:r w:rsidRPr="005C2C2B">
        <w:rPr>
          <w:color w:val="000000" w:themeColor="text1"/>
          <w:sz w:val="22"/>
          <w:szCs w:val="22"/>
        </w:rPr>
        <w:t xml:space="preserve"> Identificar el acto o resolución impugnado y la autoridad responsable del mismo; </w:t>
      </w:r>
    </w:p>
    <w:p w14:paraId="4B296DE5" w14:textId="77777777" w:rsidR="000D095E" w:rsidRDefault="006B23D7" w:rsidP="00C07370">
      <w:pPr>
        <w:pStyle w:val="Textonotapie"/>
        <w:rPr>
          <w:color w:val="000000" w:themeColor="text1"/>
          <w:sz w:val="22"/>
          <w:szCs w:val="22"/>
        </w:rPr>
      </w:pPr>
      <w:r w:rsidRPr="005C2C2B">
        <w:rPr>
          <w:b/>
          <w:color w:val="000000" w:themeColor="text1"/>
          <w:sz w:val="22"/>
          <w:szCs w:val="22"/>
        </w:rPr>
        <w:t>VII.</w:t>
      </w:r>
      <w:r w:rsidRPr="005C2C2B">
        <w:rPr>
          <w:color w:val="000000" w:themeColor="text1"/>
          <w:sz w:val="22"/>
          <w:szCs w:val="22"/>
        </w:rPr>
        <w:t xml:space="preserve"> Señalar la fecha en que fue notificado o se tuvo conocimiento del acto o resolución impugnado; </w:t>
      </w:r>
    </w:p>
    <w:p w14:paraId="7211CCBE" w14:textId="46CD4052" w:rsidR="006B23D7" w:rsidRPr="005C2C2B" w:rsidRDefault="006B23D7" w:rsidP="00C07370">
      <w:pPr>
        <w:pStyle w:val="Textonotapie"/>
        <w:rPr>
          <w:color w:val="000000" w:themeColor="text1"/>
          <w:sz w:val="22"/>
          <w:szCs w:val="22"/>
        </w:rPr>
      </w:pPr>
      <w:r w:rsidRPr="000D095E">
        <w:rPr>
          <w:b/>
          <w:bCs/>
          <w:color w:val="000000" w:themeColor="text1"/>
          <w:sz w:val="22"/>
          <w:szCs w:val="22"/>
        </w:rPr>
        <w:t>VIII.</w:t>
      </w:r>
      <w:r w:rsidRPr="005C2C2B">
        <w:rPr>
          <w:color w:val="000000" w:themeColor="text1"/>
          <w:sz w:val="22"/>
          <w:szCs w:val="22"/>
        </w:rPr>
        <w:t xml:space="preserve"> Mencionar de manera expresa y clara, los hechos que constituyan los antecedentes del acto reclamado, los agravios que cause el acto o resolución impugnada y los preceptos legales presuntamente violados; </w:t>
      </w:r>
    </w:p>
    <w:p w14:paraId="2FE89168"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IX.</w:t>
      </w:r>
      <w:r w:rsidRPr="005C2C2B">
        <w:rPr>
          <w:color w:val="000000" w:themeColor="text1"/>
          <w:sz w:val="22"/>
          <w:szCs w:val="22"/>
        </w:rPr>
        <w:t xml:space="preserve"> Ofrecer y acompañar las pruebas que estime pertinentes, señalando, en su caso, la imposibilidad de exhibir las que hubiera solicitado en tiempo y no le fueron entregadas, debiendo acreditar que las pidió oportunamente por escrito al órgano o autoridad competente; </w:t>
      </w:r>
    </w:p>
    <w:p w14:paraId="081F0A57"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X.</w:t>
      </w:r>
      <w:r w:rsidRPr="005C2C2B">
        <w:rPr>
          <w:color w:val="000000" w:themeColor="text1"/>
          <w:sz w:val="22"/>
          <w:szCs w:val="22"/>
        </w:rPr>
        <w:t xml:space="preserve"> Abstenerse de que sus escritos sean notoriamente frívolos, entendiéndose por éstos: </w:t>
      </w:r>
    </w:p>
    <w:p w14:paraId="29DC70FE"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a)</w:t>
      </w:r>
      <w:r w:rsidRPr="005C2C2B">
        <w:rPr>
          <w:color w:val="000000" w:themeColor="text1"/>
          <w:sz w:val="22"/>
          <w:szCs w:val="22"/>
        </w:rPr>
        <w:t xml:space="preserve"> Los que formulen pretensiones que no puedan alcanzarse jurídicamente, por ser notorio y evidente que no se encuentran al amparo del Derecho; o </w:t>
      </w:r>
    </w:p>
    <w:p w14:paraId="08E77B65"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b)</w:t>
      </w:r>
      <w:r w:rsidRPr="005C2C2B">
        <w:rPr>
          <w:color w:val="000000" w:themeColor="text1"/>
          <w:sz w:val="22"/>
          <w:szCs w:val="22"/>
        </w:rPr>
        <w:t xml:space="preserve"> Cuando no existan hechos que sirvan para actualizar el supuesto jurídico en que se apoyan. De actualizarse alguno de los supuestos anteriores, a quien promueva se le impondrá alguna de las sanciones previstas en el artículo 62 de esta ley, atendiendo a las circunstancias de cada caso; y </w:t>
      </w:r>
    </w:p>
    <w:p w14:paraId="3375913B" w14:textId="77777777" w:rsidR="006B23D7" w:rsidRPr="005C2C2B" w:rsidRDefault="006B23D7" w:rsidP="00C07370">
      <w:pPr>
        <w:pStyle w:val="Textonotapie"/>
        <w:rPr>
          <w:color w:val="000000" w:themeColor="text1"/>
          <w:sz w:val="22"/>
          <w:szCs w:val="22"/>
        </w:rPr>
      </w:pPr>
      <w:r w:rsidRPr="005C2C2B">
        <w:rPr>
          <w:b/>
          <w:color w:val="000000" w:themeColor="text1"/>
          <w:sz w:val="22"/>
          <w:szCs w:val="22"/>
        </w:rPr>
        <w:t>XI.</w:t>
      </w:r>
      <w:r w:rsidRPr="005C2C2B">
        <w:rPr>
          <w:color w:val="000000" w:themeColor="text1"/>
          <w:sz w:val="22"/>
          <w:szCs w:val="22"/>
        </w:rPr>
        <w:t xml:space="preserve"> Manifestar si está de acuerdo o no con la publicación de sus datos personales, entendiendo que si es omiso se tendrá por no autorizada su publicación.</w:t>
      </w:r>
    </w:p>
    <w:p w14:paraId="40515F79" w14:textId="68306A9A" w:rsidR="006B23D7" w:rsidRPr="005C2C2B" w:rsidRDefault="006B23D7" w:rsidP="00C07370">
      <w:pPr>
        <w:pStyle w:val="Textonotapie"/>
        <w:rPr>
          <w:color w:val="000000" w:themeColor="text1"/>
          <w:sz w:val="22"/>
          <w:szCs w:val="22"/>
          <w:u w:val="single"/>
        </w:rPr>
      </w:pPr>
      <w:r w:rsidRPr="005C2C2B">
        <w:rPr>
          <w:color w:val="000000" w:themeColor="text1"/>
          <w:sz w:val="22"/>
          <w:szCs w:val="22"/>
          <w:u w:val="single"/>
        </w:rPr>
        <w:t>Cuando no se reúnan los requisitos previstos en las fracciones III, IV, V, VI, VII y IX, o cuando no se anexen las copias a que se refiere la fracción I, se podrá prevenir a la parte actora, por una sola ocasión, para que subsane la omisión dentro de las veinticuatro horas siguientes a la notificación. En caso de no atender la prevención, se tendrá por no interpuesto el medio de impugnación o en su caso, se resolverá conforme a Derecho</w:t>
      </w:r>
      <w:r w:rsidR="004E6C21" w:rsidRPr="005C2C2B">
        <w:rPr>
          <w:color w:val="000000" w:themeColor="text1"/>
          <w:sz w:val="22"/>
          <w:szCs w:val="22"/>
        </w:rPr>
        <w:t>”</w:t>
      </w:r>
      <w:r w:rsidRPr="005C2C2B">
        <w:rPr>
          <w:color w:val="000000" w:themeColor="text1"/>
          <w:sz w:val="22"/>
          <w:szCs w:val="22"/>
        </w:rPr>
        <w:t>.</w:t>
      </w:r>
    </w:p>
  </w:footnote>
  <w:footnote w:id="17">
    <w:p w14:paraId="0A35415A" w14:textId="19FED6FC" w:rsidR="00FB5A64" w:rsidRPr="005C2C2B" w:rsidRDefault="006B23D7"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FB5A64" w:rsidRPr="005C2C2B">
        <w:rPr>
          <w:b/>
          <w:bCs/>
          <w:color w:val="000000" w:themeColor="text1"/>
          <w:sz w:val="22"/>
          <w:szCs w:val="22"/>
        </w:rPr>
        <w:t>“</w:t>
      </w:r>
      <w:r w:rsidRPr="005C2C2B">
        <w:rPr>
          <w:b/>
          <w:bCs/>
          <w:color w:val="000000" w:themeColor="text1"/>
          <w:sz w:val="22"/>
          <w:szCs w:val="22"/>
        </w:rPr>
        <w:t>ACCIÓN DE INCONSTITUCIONALIDAD. SI SE HACE VALER UNA CAUSAL DE IMPROCEDENCIA QUE INVOLUCRA EL ESTUDIO DE FONDO, DEBERÁ DESESTIMARSE</w:t>
      </w:r>
      <w:r w:rsidR="00FB5A64" w:rsidRPr="005C2C2B">
        <w:rPr>
          <w:b/>
          <w:bCs/>
          <w:color w:val="000000" w:themeColor="text1"/>
          <w:sz w:val="22"/>
          <w:szCs w:val="22"/>
        </w:rPr>
        <w:t>”</w:t>
      </w:r>
      <w:r w:rsidRPr="005C2C2B">
        <w:rPr>
          <w:b/>
          <w:bCs/>
          <w:color w:val="000000" w:themeColor="text1"/>
          <w:sz w:val="22"/>
          <w:szCs w:val="22"/>
        </w:rPr>
        <w:t>.</w:t>
      </w:r>
      <w:r w:rsidRPr="005C2C2B">
        <w:rPr>
          <w:color w:val="000000" w:themeColor="text1"/>
          <w:sz w:val="22"/>
          <w:szCs w:val="22"/>
        </w:rPr>
        <w:t xml:space="preserve"> </w:t>
      </w:r>
      <w:r w:rsidR="00FB5A64" w:rsidRPr="005C2C2B">
        <w:rPr>
          <w:rFonts w:eastAsia="Times New Roman"/>
          <w:sz w:val="22"/>
          <w:szCs w:val="22"/>
        </w:rPr>
        <w:t xml:space="preserve">Registro </w:t>
      </w:r>
      <w:r w:rsidR="00FB5A64" w:rsidRPr="005C2C2B">
        <w:rPr>
          <w:color w:val="000000" w:themeColor="text1"/>
          <w:sz w:val="22"/>
          <w:szCs w:val="22"/>
        </w:rPr>
        <w:t>181395</w:t>
      </w:r>
      <w:r w:rsidR="00FB5A64" w:rsidRPr="005C2C2B">
        <w:rPr>
          <w:rFonts w:eastAsia="Times New Roman"/>
          <w:sz w:val="22"/>
          <w:szCs w:val="22"/>
        </w:rPr>
        <w:t>. [J]; 9a. Época; Pleno; S.J.F. y su Gaceta; Tomo XIX, Junio de 2004; Pág. 865. P./J. 36/2004.</w:t>
      </w:r>
    </w:p>
    <w:p w14:paraId="0CC87309" w14:textId="0F41DD43" w:rsidR="006B23D7" w:rsidRPr="005C2C2B" w:rsidRDefault="006B23D7" w:rsidP="00C07370">
      <w:pPr>
        <w:pStyle w:val="Textonotapie"/>
        <w:rPr>
          <w:color w:val="000000" w:themeColor="text1"/>
          <w:sz w:val="22"/>
          <w:szCs w:val="22"/>
        </w:rPr>
      </w:pPr>
    </w:p>
  </w:footnote>
  <w:footnote w:id="18">
    <w:p w14:paraId="00F1DE17" w14:textId="0EA0BF00" w:rsidR="006B23D7" w:rsidRPr="005C2C2B" w:rsidRDefault="006B23D7"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977BBD" w:rsidRPr="005C2C2B">
        <w:rPr>
          <w:b/>
          <w:bCs/>
          <w:color w:val="000000" w:themeColor="text1"/>
          <w:sz w:val="22"/>
          <w:szCs w:val="22"/>
        </w:rPr>
        <w:t>“</w:t>
      </w:r>
      <w:r w:rsidRPr="005C2C2B">
        <w:rPr>
          <w:b/>
          <w:bCs/>
          <w:color w:val="000000" w:themeColor="text1"/>
          <w:sz w:val="22"/>
          <w:szCs w:val="22"/>
        </w:rPr>
        <w:t>PRINCIPIO PRO ACTIONE. EN SU APLICACIÓN A CASOS EN LOS QUE NO EXISTA CLARIDAD RESPECTO A SI UN ASUNTO ES O NO JUSTICIABLE, DEBERÁ PREFERIRSE LA PROTECCIÓN DEL DERECHO DE ACCESO A LA JURISDICCIÓN</w:t>
      </w:r>
      <w:r w:rsidR="00977BBD" w:rsidRPr="005C2C2B">
        <w:rPr>
          <w:b/>
          <w:bCs/>
          <w:color w:val="000000" w:themeColor="text1"/>
          <w:sz w:val="22"/>
          <w:szCs w:val="22"/>
        </w:rPr>
        <w:t>”</w:t>
      </w:r>
      <w:r w:rsidRPr="005C2C2B">
        <w:rPr>
          <w:b/>
          <w:bCs/>
          <w:color w:val="000000" w:themeColor="text1"/>
          <w:sz w:val="22"/>
          <w:szCs w:val="22"/>
        </w:rPr>
        <w:t>.</w:t>
      </w:r>
      <w:r w:rsidRPr="005C2C2B">
        <w:rPr>
          <w:color w:val="000000" w:themeColor="text1"/>
          <w:sz w:val="22"/>
          <w:szCs w:val="22"/>
        </w:rPr>
        <w:t xml:space="preserve"> </w:t>
      </w:r>
      <w:r w:rsidR="00977BBD" w:rsidRPr="005C2C2B">
        <w:rPr>
          <w:rFonts w:eastAsia="Times New Roman"/>
          <w:sz w:val="22"/>
          <w:szCs w:val="22"/>
        </w:rPr>
        <w:t xml:space="preserve">Registro </w:t>
      </w:r>
      <w:r w:rsidR="00977BBD" w:rsidRPr="005C2C2B">
        <w:rPr>
          <w:color w:val="000000" w:themeColor="text1"/>
          <w:sz w:val="22"/>
          <w:szCs w:val="22"/>
        </w:rPr>
        <w:t>2018780</w:t>
      </w:r>
      <w:r w:rsidR="00977BBD" w:rsidRPr="005C2C2B">
        <w:rPr>
          <w:rFonts w:eastAsia="Times New Roman"/>
          <w:sz w:val="22"/>
          <w:szCs w:val="22"/>
        </w:rPr>
        <w:t xml:space="preserve">. [TA]; 10a. Época; </w:t>
      </w:r>
      <w:r w:rsidR="00977BBD" w:rsidRPr="005C2C2B">
        <w:rPr>
          <w:color w:val="000000" w:themeColor="text1"/>
          <w:sz w:val="22"/>
          <w:szCs w:val="22"/>
        </w:rPr>
        <w:t>1a.</w:t>
      </w:r>
      <w:r w:rsidR="00977BBD" w:rsidRPr="005C2C2B">
        <w:rPr>
          <w:rFonts w:eastAsia="Times New Roman"/>
          <w:sz w:val="22"/>
          <w:szCs w:val="22"/>
        </w:rPr>
        <w:t xml:space="preserve">; S.J.F. y su Gaceta; Tomo I, Diciembre de 2018; Pág. 377. </w:t>
      </w:r>
      <w:r w:rsidR="00811FE5" w:rsidRPr="005C2C2B">
        <w:rPr>
          <w:color w:val="000000" w:themeColor="text1"/>
          <w:sz w:val="22"/>
          <w:szCs w:val="22"/>
        </w:rPr>
        <w:t>1a. CCVI/2018 (10a.)</w:t>
      </w:r>
      <w:r w:rsidR="00977BBD" w:rsidRPr="005C2C2B">
        <w:rPr>
          <w:rFonts w:eastAsia="Times New Roman"/>
          <w:sz w:val="22"/>
          <w:szCs w:val="22"/>
        </w:rPr>
        <w:t>.</w:t>
      </w:r>
    </w:p>
  </w:footnote>
  <w:footnote w:id="19">
    <w:p w14:paraId="4058DF60" w14:textId="5FADCCFA" w:rsidR="00A669E5" w:rsidRPr="005C2C2B" w:rsidRDefault="00A669E5"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Conceptos de invalidez Primero de</w:t>
      </w:r>
      <w:r w:rsidR="00B11937" w:rsidRPr="005C2C2B">
        <w:rPr>
          <w:color w:val="000000" w:themeColor="text1"/>
          <w:sz w:val="22"/>
          <w:szCs w:val="22"/>
        </w:rPr>
        <w:t>l partido</w:t>
      </w:r>
      <w:r w:rsidRPr="005C2C2B">
        <w:rPr>
          <w:color w:val="000000" w:themeColor="text1"/>
          <w:sz w:val="22"/>
          <w:szCs w:val="22"/>
        </w:rPr>
        <w:t xml:space="preserve"> y Segundo de la Minoría parlamentaria.</w:t>
      </w:r>
    </w:p>
  </w:footnote>
  <w:footnote w:id="20">
    <w:p w14:paraId="6822B638" w14:textId="33BDD4AD" w:rsidR="00A669E5" w:rsidRPr="005C2C2B" w:rsidRDefault="00A669E5"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Conceptos de invalidez Segundo de</w:t>
      </w:r>
      <w:r w:rsidR="00B11937" w:rsidRPr="005C2C2B">
        <w:rPr>
          <w:color w:val="000000" w:themeColor="text1"/>
          <w:sz w:val="22"/>
          <w:szCs w:val="22"/>
        </w:rPr>
        <w:t xml:space="preserve">l partido </w:t>
      </w:r>
      <w:r w:rsidRPr="005C2C2B">
        <w:rPr>
          <w:color w:val="000000" w:themeColor="text1"/>
          <w:sz w:val="22"/>
          <w:szCs w:val="22"/>
        </w:rPr>
        <w:t>y Segundo de la Minoría Parlamentaria.</w:t>
      </w:r>
    </w:p>
  </w:footnote>
  <w:footnote w:id="21">
    <w:p w14:paraId="753A781A" w14:textId="63DBAAD4" w:rsidR="00A669E5" w:rsidRPr="005C2C2B" w:rsidRDefault="00A669E5"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Conceptos de invalidez Tercero </w:t>
      </w:r>
      <w:r w:rsidR="00B11937" w:rsidRPr="005C2C2B">
        <w:rPr>
          <w:color w:val="000000" w:themeColor="text1"/>
          <w:sz w:val="22"/>
          <w:szCs w:val="22"/>
        </w:rPr>
        <w:t xml:space="preserve">del partido </w:t>
      </w:r>
      <w:r w:rsidRPr="005C2C2B">
        <w:rPr>
          <w:color w:val="000000" w:themeColor="text1"/>
          <w:sz w:val="22"/>
          <w:szCs w:val="22"/>
        </w:rPr>
        <w:t>y Tecero de la Minoría Parlamentaria.</w:t>
      </w:r>
    </w:p>
  </w:footnote>
  <w:footnote w:id="22">
    <w:p w14:paraId="6B2D1DB9" w14:textId="52C396B5" w:rsidR="00A669E5" w:rsidRPr="005C2C2B" w:rsidRDefault="00A669E5"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Conceptos de invalidez Sexto </w:t>
      </w:r>
      <w:r w:rsidR="00B11937" w:rsidRPr="005C2C2B">
        <w:rPr>
          <w:color w:val="000000" w:themeColor="text1"/>
          <w:sz w:val="22"/>
          <w:szCs w:val="22"/>
        </w:rPr>
        <w:t xml:space="preserve">del partido </w:t>
      </w:r>
      <w:r w:rsidRPr="005C2C2B">
        <w:rPr>
          <w:color w:val="000000" w:themeColor="text1"/>
          <w:sz w:val="22"/>
          <w:szCs w:val="22"/>
        </w:rPr>
        <w:t>y Cuarto de la Minoría Parlamentaria.</w:t>
      </w:r>
    </w:p>
  </w:footnote>
  <w:footnote w:id="23">
    <w:p w14:paraId="7EED3230" w14:textId="4C731039" w:rsidR="00A669E5" w:rsidRPr="005C2C2B" w:rsidRDefault="00A669E5" w:rsidP="00C07370">
      <w:pPr>
        <w:pStyle w:val="Textonotapie"/>
        <w:rPr>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Conceptos de invalidez Quinto de</w:t>
      </w:r>
      <w:r w:rsidR="00B11937" w:rsidRPr="005C2C2B">
        <w:rPr>
          <w:color w:val="000000" w:themeColor="text1"/>
          <w:sz w:val="22"/>
          <w:szCs w:val="22"/>
        </w:rPr>
        <w:t xml:space="preserve">l partido </w:t>
      </w:r>
      <w:r w:rsidRPr="005C2C2B">
        <w:rPr>
          <w:color w:val="000000" w:themeColor="text1"/>
          <w:sz w:val="22"/>
          <w:szCs w:val="22"/>
        </w:rPr>
        <w:t>y Primero de la Minoría Parlamentaria.</w:t>
      </w:r>
    </w:p>
  </w:footnote>
  <w:footnote w:id="24">
    <w:p w14:paraId="388C5F15" w14:textId="18D36D33" w:rsidR="00A669E5" w:rsidRPr="005C2C2B" w:rsidRDefault="00A669E5"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Conceptos de invalidez Cuarto de</w:t>
      </w:r>
      <w:r w:rsidR="00B11937" w:rsidRPr="005C2C2B">
        <w:rPr>
          <w:color w:val="000000" w:themeColor="text1"/>
          <w:sz w:val="22"/>
          <w:szCs w:val="22"/>
        </w:rPr>
        <w:t xml:space="preserve">l partido </w:t>
      </w:r>
      <w:r w:rsidRPr="005C2C2B">
        <w:rPr>
          <w:color w:val="000000" w:themeColor="text1"/>
          <w:sz w:val="22"/>
          <w:szCs w:val="22"/>
        </w:rPr>
        <w:t>y Quinto de la Minoría Parlamentaria.</w:t>
      </w:r>
    </w:p>
  </w:footnote>
  <w:footnote w:id="25">
    <w:p w14:paraId="05F3DF4A" w14:textId="7D348489" w:rsidR="008B28AF" w:rsidRPr="005C2C2B" w:rsidRDefault="008B28AF" w:rsidP="00C07370">
      <w:pPr>
        <w:spacing w:before="0" w:after="0" w:line="240" w:lineRule="auto"/>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color w:val="000000" w:themeColor="text1"/>
          <w:sz w:val="22"/>
          <w:szCs w:val="22"/>
          <w:lang w:val="es-ES_tradnl"/>
        </w:rPr>
        <w:t xml:space="preserve">Solicitud de modificación de jurisprudencia 11/2013, resuelta </w:t>
      </w:r>
      <w:r w:rsidRPr="005C2C2B">
        <w:rPr>
          <w:color w:val="000000" w:themeColor="text1"/>
          <w:sz w:val="22"/>
          <w:szCs w:val="22"/>
        </w:rPr>
        <w:t xml:space="preserve">por el Tribual Pleno el 22 de mayo de 2014, por mayoría de 8 votos de los señores Ministros Gutiérrez Ortiz Mena en contra de las consideraciones, Luna Ramos en contra de las </w:t>
      </w:r>
      <w:r w:rsidR="0037743D" w:rsidRPr="005C2C2B">
        <w:rPr>
          <w:color w:val="000000" w:themeColor="text1"/>
          <w:sz w:val="22"/>
          <w:szCs w:val="22"/>
        </w:rPr>
        <w:t>consideraciones</w:t>
      </w:r>
      <w:r w:rsidRPr="005C2C2B">
        <w:rPr>
          <w:color w:val="000000" w:themeColor="text1"/>
          <w:sz w:val="22"/>
          <w:szCs w:val="22"/>
        </w:rPr>
        <w:t>, Zaldívar Lelo de Larrea (Ponente), Pardo Rebolledo, Aguilar Morales, Sánchez Cordero de García Villegas, Pérez Dayán y Presidente Silva Meza, respecto del considerando quinto, relativo al estudio del fondo del asunto. El señor Ministro Cossío Díaz votó en contra.</w:t>
      </w:r>
    </w:p>
  </w:footnote>
  <w:footnote w:id="26">
    <w:p w14:paraId="77C9D0F4" w14:textId="77777777" w:rsidR="008B28AF" w:rsidRPr="005C2C2B" w:rsidRDefault="008B28AF" w:rsidP="00C07370">
      <w:pPr>
        <w:pStyle w:val="corte4fondo"/>
        <w:spacing w:line="240" w:lineRule="auto"/>
        <w:ind w:firstLine="0"/>
        <w:rPr>
          <w:rFonts w:cs="Arial"/>
          <w:color w:val="000000" w:themeColor="text1"/>
          <w:sz w:val="22"/>
          <w:szCs w:val="22"/>
        </w:rPr>
      </w:pPr>
      <w:r w:rsidRPr="005C2C2B">
        <w:rPr>
          <w:rStyle w:val="Refdenotaalpie"/>
          <w:rFonts w:cs="Arial"/>
          <w:color w:val="000000" w:themeColor="text1"/>
          <w:sz w:val="22"/>
          <w:szCs w:val="22"/>
        </w:rPr>
        <w:footnoteRef/>
      </w:r>
      <w:r w:rsidRPr="005C2C2B">
        <w:rPr>
          <w:rFonts w:cs="Arial"/>
          <w:color w:val="000000" w:themeColor="text1"/>
          <w:sz w:val="22"/>
          <w:szCs w:val="22"/>
        </w:rPr>
        <w:t xml:space="preserve"> Contradicción de tesis 35/2005-PL, resuelta por el Pleno el 29 de marzo de 2007, por unanimidad de 8 votos de los señores Ministros Aguirre Anguiano, Cossío Díaz, Luna Ramos, Franco González Salas, Azuela Güitrón, Sánchez Cordero de García Villegas, Silva Meza (ponente) y Presidente Ortiz Mayagoitia.</w:t>
      </w:r>
    </w:p>
  </w:footnote>
  <w:footnote w:id="27">
    <w:p w14:paraId="5ACA0B96" w14:textId="6B1CDFD2" w:rsidR="009E7B41" w:rsidRPr="005C2C2B" w:rsidRDefault="009E7B41" w:rsidP="00C07370">
      <w:pPr>
        <w:pStyle w:val="corte4fondo"/>
        <w:spacing w:line="240" w:lineRule="auto"/>
        <w:ind w:firstLine="0"/>
        <w:rPr>
          <w:rFonts w:cs="Arial"/>
          <w:color w:val="000000" w:themeColor="text1"/>
          <w:sz w:val="22"/>
          <w:szCs w:val="22"/>
        </w:rPr>
      </w:pPr>
      <w:r w:rsidRPr="005C2C2B">
        <w:rPr>
          <w:rStyle w:val="Refdenotaalpie"/>
          <w:rFonts w:cs="Arial"/>
          <w:color w:val="000000" w:themeColor="text1"/>
          <w:sz w:val="22"/>
          <w:szCs w:val="22"/>
        </w:rPr>
        <w:footnoteRef/>
      </w:r>
      <w:r w:rsidRPr="005C2C2B">
        <w:rPr>
          <w:rFonts w:cs="Arial"/>
          <w:color w:val="000000" w:themeColor="text1"/>
          <w:sz w:val="22"/>
          <w:szCs w:val="22"/>
        </w:rPr>
        <w:t xml:space="preserve"> “</w:t>
      </w:r>
      <w:r w:rsidRPr="005C2C2B">
        <w:rPr>
          <w:rFonts w:cs="Arial"/>
          <w:b/>
          <w:color w:val="000000" w:themeColor="text1"/>
          <w:sz w:val="22"/>
          <w:szCs w:val="22"/>
        </w:rPr>
        <w:t>Artículo 14</w:t>
      </w:r>
      <w:r w:rsidR="009C6167">
        <w:rPr>
          <w:rFonts w:cs="Arial"/>
          <w:b/>
          <w:color w:val="000000" w:themeColor="text1"/>
          <w:sz w:val="22"/>
          <w:szCs w:val="22"/>
        </w:rPr>
        <w:t>.</w:t>
      </w:r>
      <w:r w:rsidRPr="005C2C2B">
        <w:rPr>
          <w:rFonts w:cs="Arial"/>
          <w:color w:val="000000" w:themeColor="text1"/>
          <w:sz w:val="22"/>
          <w:szCs w:val="22"/>
        </w:rPr>
        <w:t xml:space="preserve"> </w:t>
      </w:r>
    </w:p>
    <w:p w14:paraId="142B5D13" w14:textId="77777777" w:rsidR="009E7B41" w:rsidRPr="005C2C2B" w:rsidRDefault="009E7B41" w:rsidP="00C07370">
      <w:pPr>
        <w:pStyle w:val="corte4fondo"/>
        <w:spacing w:line="240" w:lineRule="auto"/>
        <w:ind w:firstLine="0"/>
        <w:rPr>
          <w:rFonts w:cs="Arial"/>
          <w:color w:val="000000" w:themeColor="text1"/>
          <w:sz w:val="22"/>
          <w:szCs w:val="22"/>
        </w:rPr>
      </w:pPr>
      <w:r w:rsidRPr="005C2C2B">
        <w:rPr>
          <w:rFonts w:cs="Arial"/>
          <w:color w:val="000000" w:themeColor="text1"/>
          <w:sz w:val="22"/>
          <w:szCs w:val="22"/>
        </w:rPr>
        <w:t xml:space="preserve">1. Todas las personas son iguales ante los tribunales y cortes de justicia. Toda persona tendrá </w:t>
      </w:r>
      <w:r w:rsidRPr="005C2C2B">
        <w:rPr>
          <w:rFonts w:cs="Arial"/>
          <w:color w:val="000000" w:themeColor="text1"/>
          <w:sz w:val="22"/>
          <w:szCs w:val="22"/>
          <w:u w:val="single"/>
        </w:rPr>
        <w:t>derecho a ser oída públicamente y con las debidas garantías</w:t>
      </w:r>
      <w:r w:rsidRPr="005C2C2B">
        <w:rPr>
          <w:rFonts w:cs="Arial"/>
          <w:color w:val="000000" w:themeColor="text1"/>
          <w:sz w:val="22"/>
          <w:szCs w:val="22"/>
        </w:rPr>
        <w:t xml:space="preserve">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actuaciones referentes a pleitos matrimoniales o a la tutela de menores.</w:t>
      </w:r>
    </w:p>
    <w:p w14:paraId="0D985608" w14:textId="57644059" w:rsidR="009E7B41" w:rsidRPr="005C2C2B" w:rsidRDefault="009E7B41" w:rsidP="00C07370">
      <w:pPr>
        <w:pStyle w:val="corte4fondo"/>
        <w:spacing w:line="240" w:lineRule="auto"/>
        <w:ind w:firstLine="0"/>
        <w:rPr>
          <w:rFonts w:cs="Arial"/>
          <w:color w:val="000000" w:themeColor="text1"/>
          <w:sz w:val="22"/>
          <w:szCs w:val="22"/>
        </w:rPr>
      </w:pPr>
      <w:r w:rsidRPr="005C2C2B">
        <w:rPr>
          <w:rFonts w:cs="Arial"/>
          <w:color w:val="000000" w:themeColor="text1"/>
          <w:sz w:val="22"/>
          <w:szCs w:val="22"/>
        </w:rPr>
        <w:t>(…)”.</w:t>
      </w:r>
    </w:p>
  </w:footnote>
  <w:footnote w:id="28">
    <w:p w14:paraId="1D784F96" w14:textId="4A067C20" w:rsidR="009E7B41" w:rsidRPr="005C2C2B" w:rsidRDefault="009E7B41" w:rsidP="00C07370">
      <w:pPr>
        <w:pStyle w:val="corte4fondo"/>
        <w:spacing w:line="240" w:lineRule="auto"/>
        <w:ind w:firstLine="0"/>
        <w:rPr>
          <w:rFonts w:cs="Arial"/>
          <w:color w:val="000000" w:themeColor="text1"/>
          <w:sz w:val="22"/>
          <w:szCs w:val="22"/>
        </w:rPr>
      </w:pPr>
      <w:r w:rsidRPr="005C2C2B">
        <w:rPr>
          <w:rStyle w:val="Refdenotaalpie"/>
          <w:rFonts w:cs="Arial"/>
          <w:color w:val="000000" w:themeColor="text1"/>
          <w:sz w:val="22"/>
          <w:szCs w:val="22"/>
        </w:rPr>
        <w:footnoteRef/>
      </w:r>
      <w:r w:rsidRPr="005C2C2B">
        <w:rPr>
          <w:rFonts w:cs="Arial"/>
          <w:color w:val="000000" w:themeColor="text1"/>
          <w:sz w:val="22"/>
          <w:szCs w:val="22"/>
        </w:rPr>
        <w:t xml:space="preserve"> “</w:t>
      </w:r>
      <w:r w:rsidRPr="005C2C2B">
        <w:rPr>
          <w:rFonts w:cs="Arial"/>
          <w:b/>
          <w:color w:val="000000" w:themeColor="text1"/>
          <w:sz w:val="22"/>
          <w:szCs w:val="22"/>
        </w:rPr>
        <w:t>Artículo 8.- Garantías Judiciales</w:t>
      </w:r>
      <w:r w:rsidR="008B5258">
        <w:rPr>
          <w:rFonts w:cs="Arial"/>
          <w:b/>
          <w:color w:val="000000" w:themeColor="text1"/>
          <w:sz w:val="22"/>
          <w:szCs w:val="22"/>
        </w:rPr>
        <w:t>.</w:t>
      </w:r>
      <w:r w:rsidRPr="005C2C2B">
        <w:rPr>
          <w:rFonts w:cs="Arial"/>
          <w:color w:val="000000" w:themeColor="text1"/>
          <w:sz w:val="22"/>
          <w:szCs w:val="22"/>
        </w:rPr>
        <w:t xml:space="preserve"> </w:t>
      </w:r>
    </w:p>
    <w:p w14:paraId="2B91E743" w14:textId="1C0FF556" w:rsidR="009E7B41" w:rsidRPr="005C2C2B" w:rsidRDefault="009E7B41" w:rsidP="00C07370">
      <w:pPr>
        <w:pStyle w:val="corte4fondo"/>
        <w:spacing w:line="240" w:lineRule="auto"/>
        <w:ind w:firstLine="0"/>
        <w:rPr>
          <w:rFonts w:cs="Arial"/>
          <w:color w:val="000000" w:themeColor="text1"/>
          <w:sz w:val="22"/>
          <w:szCs w:val="22"/>
        </w:rPr>
      </w:pPr>
      <w:r w:rsidRPr="005C2C2B">
        <w:rPr>
          <w:rFonts w:cs="Arial"/>
          <w:color w:val="000000" w:themeColor="text1"/>
          <w:sz w:val="22"/>
          <w:szCs w:val="22"/>
        </w:rPr>
        <w:t xml:space="preserve">1. Toda persona tiene </w:t>
      </w:r>
      <w:r w:rsidRPr="005C2C2B">
        <w:rPr>
          <w:rFonts w:cs="Arial"/>
          <w:color w:val="000000" w:themeColor="text1"/>
          <w:sz w:val="22"/>
          <w:szCs w:val="22"/>
          <w:u w:val="single"/>
        </w:rPr>
        <w:t>derecho a ser oída con las debidas garantías y dentro de un plazo razonable, por un juez o tribunal competente independiente e imparcial</w:t>
      </w:r>
      <w:r w:rsidRPr="005C2C2B">
        <w:rPr>
          <w:rFonts w:cs="Arial"/>
          <w:color w:val="000000" w:themeColor="text1"/>
          <w:sz w:val="22"/>
          <w:szCs w:val="22"/>
        </w:rPr>
        <w:t xml:space="preserve"> establecido con anterioridad por la ley, en la sustanciación de cualquier acusación penal formulada contra ella, o para la determinación de sus derechos y obligaciones de orden civil, laboral, fiscal o de cualquier otro carácter</w:t>
      </w:r>
      <w:r w:rsidR="00322517" w:rsidRPr="005C2C2B">
        <w:rPr>
          <w:rFonts w:cs="Arial"/>
          <w:color w:val="000000" w:themeColor="text1"/>
          <w:sz w:val="22"/>
          <w:szCs w:val="22"/>
        </w:rPr>
        <w:t>”</w:t>
      </w:r>
      <w:r w:rsidRPr="005C2C2B">
        <w:rPr>
          <w:rFonts w:cs="Arial"/>
          <w:color w:val="000000" w:themeColor="text1"/>
          <w:sz w:val="22"/>
          <w:szCs w:val="22"/>
        </w:rPr>
        <w:t>.</w:t>
      </w:r>
    </w:p>
    <w:p w14:paraId="1761D0E8" w14:textId="75D4BEE0" w:rsidR="009E7B41" w:rsidRPr="005C2C2B" w:rsidRDefault="009E7B41" w:rsidP="00C07370">
      <w:pPr>
        <w:pStyle w:val="corte4fondo"/>
        <w:spacing w:line="240" w:lineRule="auto"/>
        <w:ind w:firstLine="0"/>
        <w:rPr>
          <w:rFonts w:cs="Arial"/>
          <w:color w:val="000000" w:themeColor="text1"/>
          <w:sz w:val="22"/>
          <w:szCs w:val="22"/>
        </w:rPr>
      </w:pPr>
      <w:r w:rsidRPr="005C2C2B">
        <w:rPr>
          <w:rFonts w:cs="Arial"/>
          <w:color w:val="000000" w:themeColor="text1"/>
          <w:sz w:val="22"/>
          <w:szCs w:val="22"/>
        </w:rPr>
        <w:t>“</w:t>
      </w:r>
      <w:r w:rsidRPr="005C2C2B">
        <w:rPr>
          <w:rFonts w:cs="Arial"/>
          <w:b/>
          <w:color w:val="000000" w:themeColor="text1"/>
          <w:sz w:val="22"/>
          <w:szCs w:val="22"/>
        </w:rPr>
        <w:t>Artículo 25.- Protección Judicial</w:t>
      </w:r>
      <w:r w:rsidR="008B5258">
        <w:rPr>
          <w:rFonts w:cs="Arial"/>
          <w:b/>
          <w:color w:val="000000" w:themeColor="text1"/>
          <w:sz w:val="22"/>
          <w:szCs w:val="22"/>
        </w:rPr>
        <w:t>.</w:t>
      </w:r>
      <w:r w:rsidRPr="005C2C2B">
        <w:rPr>
          <w:rFonts w:cs="Arial"/>
          <w:color w:val="000000" w:themeColor="text1"/>
          <w:sz w:val="22"/>
          <w:szCs w:val="22"/>
        </w:rPr>
        <w:t xml:space="preserve"> </w:t>
      </w:r>
    </w:p>
    <w:p w14:paraId="1E980669" w14:textId="77777777" w:rsidR="009E7B41" w:rsidRPr="005C2C2B" w:rsidRDefault="009E7B41" w:rsidP="00C07370">
      <w:pPr>
        <w:pStyle w:val="corte4fondo"/>
        <w:spacing w:line="240" w:lineRule="auto"/>
        <w:ind w:firstLine="0"/>
        <w:rPr>
          <w:rFonts w:cs="Arial"/>
          <w:color w:val="000000" w:themeColor="text1"/>
          <w:sz w:val="22"/>
          <w:szCs w:val="22"/>
        </w:rPr>
      </w:pPr>
      <w:r w:rsidRPr="005C2C2B">
        <w:rPr>
          <w:rFonts w:cs="Arial"/>
          <w:color w:val="000000" w:themeColor="text1"/>
          <w:sz w:val="22"/>
          <w:szCs w:val="22"/>
        </w:rPr>
        <w:t xml:space="preserve">1. Toda persona tiene </w:t>
      </w:r>
      <w:r w:rsidRPr="005C2C2B">
        <w:rPr>
          <w:rFonts w:cs="Arial"/>
          <w:color w:val="000000" w:themeColor="text1"/>
          <w:sz w:val="22"/>
          <w:szCs w:val="22"/>
          <w:u w:val="single"/>
        </w:rPr>
        <w:t>derecho a un recurso sencillo y rápido o a cualquier otro recurso efectivo ante los jueces o tribunales competentes, que la ampare contra actos que violen sus derechos</w:t>
      </w:r>
      <w:r w:rsidRPr="005C2C2B">
        <w:rPr>
          <w:rFonts w:cs="Arial"/>
          <w:color w:val="000000" w:themeColor="text1"/>
          <w:sz w:val="22"/>
          <w:szCs w:val="22"/>
        </w:rPr>
        <w:t xml:space="preserve"> fundamentales reconocidos por la Constitución, la ley o la presente convención, aún cuando tal violación sea cometida por personas que actúen en ejercicio de sus funciones oficiales. </w:t>
      </w:r>
    </w:p>
    <w:p w14:paraId="43977BB4" w14:textId="57828D96" w:rsidR="009E7B41" w:rsidRPr="005C2C2B" w:rsidRDefault="009E7B41" w:rsidP="00C07370">
      <w:pPr>
        <w:pStyle w:val="corte4fondo"/>
        <w:spacing w:line="240" w:lineRule="auto"/>
        <w:ind w:firstLine="0"/>
        <w:rPr>
          <w:rFonts w:cs="Arial"/>
          <w:color w:val="000000" w:themeColor="text1"/>
          <w:sz w:val="22"/>
          <w:szCs w:val="22"/>
        </w:rPr>
      </w:pPr>
      <w:r w:rsidRPr="005C2C2B">
        <w:rPr>
          <w:rFonts w:cs="Arial"/>
          <w:color w:val="000000" w:themeColor="text1"/>
          <w:sz w:val="22"/>
          <w:szCs w:val="22"/>
        </w:rPr>
        <w:t>(…)”.</w:t>
      </w:r>
    </w:p>
  </w:footnote>
  <w:footnote w:id="29">
    <w:p w14:paraId="10BB9103" w14:textId="77777777" w:rsidR="008B28AF" w:rsidRPr="00C23AD3" w:rsidRDefault="008B28AF" w:rsidP="00C07370">
      <w:pPr>
        <w:widowControl w:val="0"/>
        <w:spacing w:before="0" w:after="0" w:line="240" w:lineRule="auto"/>
        <w:ind w:right="6"/>
        <w:rPr>
          <w:color w:val="000000" w:themeColor="text1"/>
          <w:sz w:val="22"/>
          <w:szCs w:val="22"/>
          <w:lang w:val="es-ES_tradnl"/>
        </w:rPr>
      </w:pPr>
      <w:r w:rsidRPr="005C2C2B">
        <w:rPr>
          <w:rStyle w:val="Refdenotaalpie"/>
          <w:color w:val="000000" w:themeColor="text1"/>
          <w:sz w:val="22"/>
          <w:szCs w:val="22"/>
        </w:rPr>
        <w:footnoteRef/>
      </w:r>
      <w:r w:rsidRPr="005C2C2B">
        <w:rPr>
          <w:color w:val="000000" w:themeColor="text1"/>
          <w:sz w:val="22"/>
          <w:szCs w:val="22"/>
        </w:rPr>
        <w:t xml:space="preserve"> Al respecto, véase el Caso 19 Comerciantes Vs. Colombia. Fondo, Reparaciones y Costas. Sentencia de 5 </w:t>
      </w:r>
      <w:r w:rsidRPr="00C23AD3">
        <w:rPr>
          <w:color w:val="000000" w:themeColor="text1"/>
          <w:sz w:val="22"/>
          <w:szCs w:val="22"/>
        </w:rPr>
        <w:t>de julio de 2004. Serie C No. 109, párrafo 192.</w:t>
      </w:r>
    </w:p>
  </w:footnote>
  <w:footnote w:id="30">
    <w:p w14:paraId="31EA304D" w14:textId="10BCD39C" w:rsidR="008B28AF" w:rsidRPr="000B3E13" w:rsidRDefault="008B28AF" w:rsidP="000B3E13">
      <w:pPr>
        <w:spacing w:before="0" w:after="0" w:line="240" w:lineRule="auto"/>
        <w:rPr>
          <w:color w:val="000000" w:themeColor="text1"/>
          <w:sz w:val="22"/>
          <w:szCs w:val="22"/>
        </w:rPr>
      </w:pPr>
      <w:r w:rsidRPr="00C23AD3">
        <w:rPr>
          <w:rStyle w:val="Refdenotaalpie"/>
          <w:color w:val="000000" w:themeColor="text1"/>
          <w:sz w:val="22"/>
          <w:szCs w:val="22"/>
        </w:rPr>
        <w:footnoteRef/>
      </w:r>
      <w:r w:rsidRPr="00C23AD3">
        <w:rPr>
          <w:color w:val="000000" w:themeColor="text1"/>
          <w:sz w:val="22"/>
          <w:szCs w:val="22"/>
        </w:rPr>
        <w:t xml:space="preserve"> </w:t>
      </w:r>
      <w:r w:rsidRPr="00C23AD3">
        <w:rPr>
          <w:i/>
          <w:color w:val="000000" w:themeColor="text1"/>
          <w:sz w:val="22"/>
          <w:szCs w:val="22"/>
        </w:rPr>
        <w:t>Ibid.</w:t>
      </w:r>
      <w:r w:rsidRPr="00C23AD3">
        <w:rPr>
          <w:color w:val="000000" w:themeColor="text1"/>
          <w:sz w:val="22"/>
          <w:szCs w:val="22"/>
        </w:rPr>
        <w:t xml:space="preserve">, párrafo 193. Asimismo, </w:t>
      </w:r>
      <w:r w:rsidRPr="00C23AD3">
        <w:rPr>
          <w:i/>
          <w:color w:val="000000" w:themeColor="text1"/>
          <w:sz w:val="22"/>
          <w:szCs w:val="22"/>
        </w:rPr>
        <w:t xml:space="preserve">cfr. </w:t>
      </w:r>
      <w:r w:rsidRPr="00C23AD3">
        <w:rPr>
          <w:color w:val="000000" w:themeColor="text1"/>
          <w:sz w:val="22"/>
          <w:szCs w:val="22"/>
        </w:rPr>
        <w:t xml:space="preserve">Caso Baena Ricardo y otros Vs. Panamá. Fondo, Reparaciones y Costas. Sentencia de </w:t>
      </w:r>
      <w:r w:rsidR="000B3E13" w:rsidRPr="00C23AD3">
        <w:rPr>
          <w:color w:val="000000" w:themeColor="text1"/>
          <w:sz w:val="22"/>
          <w:szCs w:val="22"/>
        </w:rPr>
        <w:t>2</w:t>
      </w:r>
      <w:r w:rsidRPr="00C23AD3">
        <w:rPr>
          <w:color w:val="000000" w:themeColor="text1"/>
          <w:sz w:val="22"/>
          <w:szCs w:val="22"/>
        </w:rPr>
        <w:t xml:space="preserve"> de febrero de </w:t>
      </w:r>
      <w:r w:rsidR="000B3E13" w:rsidRPr="00C23AD3">
        <w:rPr>
          <w:color w:val="000000" w:themeColor="text1"/>
          <w:sz w:val="22"/>
          <w:szCs w:val="22"/>
        </w:rPr>
        <w:t>2001</w:t>
      </w:r>
      <w:r w:rsidRPr="00C23AD3">
        <w:rPr>
          <w:color w:val="000000" w:themeColor="text1"/>
          <w:sz w:val="22"/>
          <w:szCs w:val="22"/>
        </w:rPr>
        <w:t>. Serie C. No.</w:t>
      </w:r>
      <w:r w:rsidRPr="005C2C2B">
        <w:rPr>
          <w:color w:val="000000" w:themeColor="text1"/>
          <w:sz w:val="22"/>
          <w:szCs w:val="22"/>
        </w:rPr>
        <w:t xml:space="preserve"> 72.</w:t>
      </w:r>
    </w:p>
  </w:footnote>
  <w:footnote w:id="31">
    <w:p w14:paraId="2C8F1F6B" w14:textId="238D30FD" w:rsidR="00E75477" w:rsidRPr="005C2C2B" w:rsidRDefault="00E75477" w:rsidP="00C07370">
      <w:pPr>
        <w:pStyle w:val="Textonotapie"/>
        <w:rPr>
          <w:sz w:val="22"/>
          <w:szCs w:val="22"/>
        </w:rPr>
      </w:pPr>
      <w:r w:rsidRPr="005C2C2B">
        <w:rPr>
          <w:rStyle w:val="Refdenotaalpie"/>
          <w:sz w:val="22"/>
          <w:szCs w:val="22"/>
        </w:rPr>
        <w:footnoteRef/>
      </w:r>
      <w:r w:rsidRPr="005C2C2B">
        <w:rPr>
          <w:sz w:val="22"/>
          <w:szCs w:val="22"/>
        </w:rPr>
        <w:t xml:space="preserve"> </w:t>
      </w:r>
      <w:r w:rsidRPr="005C2C2B">
        <w:rPr>
          <w:i/>
          <w:iCs/>
          <w:color w:val="000000" w:themeColor="text1"/>
          <w:sz w:val="22"/>
          <w:szCs w:val="22"/>
        </w:rPr>
        <w:t>Caso Castañeda Gutman Vs. México</w:t>
      </w:r>
      <w:r w:rsidRPr="005C2C2B">
        <w:rPr>
          <w:color w:val="000000" w:themeColor="text1"/>
          <w:sz w:val="22"/>
          <w:szCs w:val="22"/>
        </w:rPr>
        <w:t>. Excepciones Preliminares, Fondo, Reparaciones y Costas. Sentencia de 6 de agosto de 2008. Serie C No. 184.</w:t>
      </w:r>
    </w:p>
  </w:footnote>
  <w:footnote w:id="32">
    <w:p w14:paraId="4EC946FA" w14:textId="6C6C315D" w:rsidR="00221961" w:rsidRPr="005C2C2B" w:rsidRDefault="008B28AF" w:rsidP="00C07370">
      <w:pPr>
        <w:autoSpaceDE w:val="0"/>
        <w:autoSpaceDN w:val="0"/>
        <w:adjustRightInd w:val="0"/>
        <w:spacing w:before="0" w:after="0" w:line="240" w:lineRule="auto"/>
        <w:rPr>
          <w:color w:val="000000" w:themeColor="text1"/>
          <w:sz w:val="22"/>
          <w:szCs w:val="22"/>
        </w:rPr>
      </w:pPr>
      <w:r w:rsidRPr="005C2C2B">
        <w:rPr>
          <w:rStyle w:val="FootnoteRef"/>
          <w:color w:val="000000" w:themeColor="text1"/>
          <w:sz w:val="22"/>
          <w:szCs w:val="22"/>
        </w:rPr>
        <w:footnoteRef/>
      </w:r>
      <w:r w:rsidRPr="005C2C2B">
        <w:rPr>
          <w:color w:val="000000" w:themeColor="text1"/>
          <w:sz w:val="22"/>
          <w:szCs w:val="22"/>
        </w:rPr>
        <w:t xml:space="preserve"> </w:t>
      </w:r>
      <w:r w:rsidR="00221961" w:rsidRPr="005C2C2B">
        <w:rPr>
          <w:color w:val="000000" w:themeColor="text1"/>
          <w:sz w:val="22"/>
          <w:szCs w:val="22"/>
        </w:rPr>
        <w:t>“106. A efectos de cumplir su obligación convencional de establecer en el ordenamiento jurídico interno un recurso efectivo en los términos de la Convención, los Estados deben promover recursos accesibles a toda persona para la protección de sus derechos. Si una determinada acción es el recurso destinado por la ley para obtener la restitución del derecho que se considera violado, toda persona que sea titular de dicho derecho debe tener la posibilidad real de interponerlo.</w:t>
      </w:r>
    </w:p>
    <w:p w14:paraId="1AB4D6B7" w14:textId="77777777" w:rsidR="00221961" w:rsidRPr="005C2C2B" w:rsidRDefault="00221961" w:rsidP="00C07370">
      <w:pPr>
        <w:autoSpaceDE w:val="0"/>
        <w:autoSpaceDN w:val="0"/>
        <w:adjustRightInd w:val="0"/>
        <w:spacing w:before="0" w:after="0" w:line="240" w:lineRule="auto"/>
        <w:rPr>
          <w:color w:val="000000" w:themeColor="text1"/>
          <w:sz w:val="22"/>
          <w:szCs w:val="22"/>
        </w:rPr>
      </w:pPr>
      <w:r w:rsidRPr="005C2C2B">
        <w:rPr>
          <w:color w:val="000000" w:themeColor="text1"/>
          <w:sz w:val="22"/>
          <w:szCs w:val="22"/>
        </w:rPr>
        <w:t>(…)</w:t>
      </w:r>
    </w:p>
    <w:p w14:paraId="004BCF18" w14:textId="56E8AEC0" w:rsidR="008B28AF" w:rsidRPr="005C2C2B" w:rsidRDefault="00221961" w:rsidP="00C07370">
      <w:pPr>
        <w:autoSpaceDE w:val="0"/>
        <w:autoSpaceDN w:val="0"/>
        <w:adjustRightInd w:val="0"/>
        <w:spacing w:before="0" w:after="0" w:line="240" w:lineRule="auto"/>
        <w:rPr>
          <w:color w:val="000000" w:themeColor="text1"/>
          <w:sz w:val="22"/>
          <w:szCs w:val="22"/>
        </w:rPr>
      </w:pPr>
      <w:r w:rsidRPr="005C2C2B">
        <w:rPr>
          <w:color w:val="000000" w:themeColor="text1"/>
          <w:sz w:val="22"/>
          <w:szCs w:val="22"/>
        </w:rPr>
        <w:t xml:space="preserve">118.(…) Un recurso judicial efectivo es aquel capaz de producir el resultado para el que ha sido concebido, es decir, debe ser un recurso capaz de conducir a un análisis por parte de un tribunal competente a efectos de establecer si ha habido o no una violación a los derechos humanos y, en su caso, proporcionar una reparación”. </w:t>
      </w:r>
      <w:r w:rsidRPr="005C2C2B">
        <w:rPr>
          <w:i/>
          <w:iCs/>
          <w:color w:val="000000" w:themeColor="text1"/>
          <w:sz w:val="22"/>
          <w:szCs w:val="22"/>
        </w:rPr>
        <w:t xml:space="preserve">Vid. </w:t>
      </w:r>
      <w:r w:rsidR="008B28AF" w:rsidRPr="005C2C2B">
        <w:rPr>
          <w:color w:val="000000" w:themeColor="text1"/>
          <w:sz w:val="22"/>
          <w:szCs w:val="22"/>
        </w:rPr>
        <w:t>Caso Castañeda Gutman Vs. México. Excepciones Preliminares, Fondo, Reparaciones y Costas. Sentencia de 6 de agosto de 2008. Serie C No. 184, párrafos 106 y 118.</w:t>
      </w:r>
    </w:p>
  </w:footnote>
  <w:footnote w:id="33">
    <w:p w14:paraId="0AD9394E" w14:textId="77777777" w:rsidR="006F6590" w:rsidRPr="005C2C2B" w:rsidRDefault="002A2168" w:rsidP="00C07370">
      <w:pPr>
        <w:spacing w:before="0" w:after="0" w:line="240" w:lineRule="auto"/>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CA0B5D" w:rsidRPr="005C2C2B">
        <w:rPr>
          <w:color w:val="000000" w:themeColor="text1"/>
          <w:sz w:val="22"/>
          <w:szCs w:val="22"/>
        </w:rPr>
        <w:t>“</w:t>
      </w:r>
      <w:r w:rsidRPr="005C2C2B">
        <w:rPr>
          <w:b/>
          <w:bCs/>
          <w:color w:val="000000" w:themeColor="text1"/>
          <w:sz w:val="22"/>
          <w:szCs w:val="22"/>
        </w:rPr>
        <w:t xml:space="preserve">DERECHO FUNDAMENTAL DE ACCESO A LA JURISDICCIÓN. SU CONTENIDO ESPECÍFICO COMO PARTE DEL DERECHO A LA TUTELA JURISDICCIONAL EFECTIVA Y SU COMPATIBILIDAD CON LA EXISTENCIA DE REQUISITOS DE PROCEDENCIA DE UNA ACCIÓN. </w:t>
      </w:r>
      <w:r w:rsidRPr="005C2C2B">
        <w:rPr>
          <w:color w:val="000000" w:themeColor="text1"/>
          <w:sz w:val="22"/>
          <w:szCs w:val="22"/>
        </w:rPr>
        <w:t>De la tesis de jurisprudencia de la Primera Sala de la Suprema Corte de Justicia de la Nación 1a./J. 42/2007, (1) de rubro: ‘GARANTÍA A LA TUTELA JURISDICCIONAL PREVISTA EN EL ARTÍCULO 17 DE LA CONSTITUCIÓN POLÍTICA DE LOS ESTADOS UNIDOS MEXICANOS. SUS ALCANCES.’, deriva que el acceso a la tutela jurisdiccional comprende tres etapas, a las que corresponden tres derechos que lo integran: 1) una previa al juicio, a la que atañe el derecho de acceso a la jurisdicción; 2) otra judicial, a la que corresponden las garantías del debido proceso; y, 3) una posterior al juicio, que se identifica con la eficacia de las resoluciones emitidas con motivo de aquél. En estos términos, el derecho fundamental de acceso a la jurisdicción debe entenderse como una especie del diverso de petición, que se actualiza cuando ésta se dirige a las autoridades jurisdiccionales, motivando su pronunciamiento. Su fundamento se encuentra en el artículo 17 de la Constitución Política de los Estados Unidos Mexicanos, conforme al cual corresponde al Estado mexicano impartir justicia a través de las instituciones y procedimientos previstos para tal efecto. Así, es perfectamente compatible con el artículo constitucional referido, que el órgano legislativo establezca condiciones para el acceso a los tribunales y regule distintas vías y procedimientos, cada uno de los cuales tendrá diferentes requisitos de procedencia que deberán cumplirse para justificar el accionar del aparato jurisdiccional, dentro de los cuales pueden establecerse, por ejemplo, aquellos que regulen: i) la admisibilidad de un escrito; ii) la legitimación activa y pasiva de las partes; iii) la representación; iv) la oportunidad en la interposición de la acción, excepción o defensa, recurso o incidente; v) la competencia del órgano ante el cual se promueve; vi) la exhibición de ciertos documentos de los cuales depende la existencia de la acción; y, vii) la procedencia de la vía. En resumen, los requisitos de procedencia, a falta de los cuales se actualiza la improcedencia de una acción, varían dependiendo de la vía que se ejerza y, en esencia, consisten en los elementos mínimos necesarios previstos en las leyes adjetivas que deben satisfacerse para la realización de la jurisdicción, es decir, para que el juzgador se encuentre en aptitud de conocer la cuestión de fondo planteada en el caso sometido a su potestad y pueda resolverla, determinando los efectos de dicha resolución. Lo importante en cada caso será que para poder concluir que existe un verdadero acceso a la jurisdicción o a los tribunales, es necesario que se verifique la inexistencia de impedimentos jurídicos o fácticos que resulten carentes de racionalidad, proporcionalidad o que resulten discriminatorios</w:t>
      </w:r>
      <w:r w:rsidR="00CA0B5D" w:rsidRPr="005C2C2B">
        <w:rPr>
          <w:color w:val="000000" w:themeColor="text1"/>
          <w:sz w:val="22"/>
          <w:szCs w:val="22"/>
        </w:rPr>
        <w:t>”</w:t>
      </w:r>
      <w:r w:rsidRPr="005C2C2B">
        <w:rPr>
          <w:color w:val="000000" w:themeColor="text1"/>
          <w:sz w:val="22"/>
          <w:szCs w:val="22"/>
        </w:rPr>
        <w:t xml:space="preserve">. </w:t>
      </w:r>
    </w:p>
    <w:p w14:paraId="630A17B7" w14:textId="7AE4262C" w:rsidR="002A2168" w:rsidRPr="005C2C2B" w:rsidRDefault="00CA0B5D" w:rsidP="00C07370">
      <w:pPr>
        <w:spacing w:before="0" w:after="0" w:line="240" w:lineRule="auto"/>
        <w:rPr>
          <w:color w:val="000000" w:themeColor="text1"/>
          <w:sz w:val="22"/>
          <w:szCs w:val="22"/>
        </w:rPr>
      </w:pPr>
      <w:r w:rsidRPr="005C2C2B">
        <w:rPr>
          <w:color w:val="000000" w:themeColor="text1"/>
          <w:sz w:val="22"/>
          <w:szCs w:val="22"/>
        </w:rPr>
        <w:t>Registro 2015595. [</w:t>
      </w:r>
      <w:r w:rsidR="007C11F9" w:rsidRPr="005C2C2B">
        <w:rPr>
          <w:color w:val="000000" w:themeColor="text1"/>
          <w:sz w:val="22"/>
          <w:szCs w:val="22"/>
        </w:rPr>
        <w:t>J</w:t>
      </w:r>
      <w:r w:rsidRPr="005C2C2B">
        <w:rPr>
          <w:color w:val="000000" w:themeColor="text1"/>
          <w:sz w:val="22"/>
          <w:szCs w:val="22"/>
        </w:rPr>
        <w:t>]; 10a. Época; 1a.; S.J.F. y su Gaceta; Tomo I, Noviembre de 2017; Pág. 213. 1a./J. 90/2017 (10a.).</w:t>
      </w:r>
    </w:p>
  </w:footnote>
  <w:footnote w:id="34">
    <w:p w14:paraId="153CA24C" w14:textId="42E30D12" w:rsidR="002A2168" w:rsidRPr="005C2C2B" w:rsidRDefault="002A2168" w:rsidP="00C07370">
      <w:pPr>
        <w:spacing w:before="0" w:after="0" w:line="240" w:lineRule="auto"/>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Contradicción de tesis 35/2000, resuelta por el Pleno el 10 de septiembre de 2001, por unanimidad de 9 votos de los señores Ministros Azuela Güitrón, Díaz Romero, Aguinaco Alemán, Gudiño Pelayo, Ortiz Mayagoitia, Román Palacios, Sánchez Cordero, Silva Meza y Presidente Góngora Pimentel. No asistieron los señores Ministros Sergio Salvador Aguirre Anguiano, por estar disfrutando de vacaciones; y Juventino V. Castro y Castro, previo aviso a la Presidencia.</w:t>
      </w:r>
    </w:p>
  </w:footnote>
  <w:footnote w:id="35">
    <w:p w14:paraId="522AF6C7" w14:textId="7468882A" w:rsidR="002A2168" w:rsidRPr="005C2C2B" w:rsidRDefault="002A2168"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041F00" w:rsidRPr="005C2C2B">
        <w:rPr>
          <w:color w:val="000000" w:themeColor="text1"/>
          <w:sz w:val="22"/>
          <w:szCs w:val="22"/>
        </w:rPr>
        <w:t>“</w:t>
      </w:r>
      <w:r w:rsidRPr="005C2C2B">
        <w:rPr>
          <w:b/>
          <w:bCs/>
          <w:color w:val="000000" w:themeColor="text1"/>
          <w:sz w:val="22"/>
          <w:szCs w:val="22"/>
        </w:rPr>
        <w:t xml:space="preserve">JUSTICIA, ACCESO A LA. LA POTESTAD QUE SE OTORGA AL LEGISLADOR EN EL ARTÍCULO 17 DE LA CONSTITUCIÓN GENERAL DE LA REPÚBLICA, PARA FIJAR LOS PLAZOS Y TÉRMINOS CONFORME A LOS CUALES AQUÉLLA SE ADMINISTRARÁ NO ES ILIMITADA, POR LO QUE LOS PRESUPUESTOS O REQUISITOS LEGALES QUE SE ESTABLEZCAN PARA OBTENER ANTE UN TRIBUNAL UNA RESOLUCIÓN SOBRE EL FONDO DE LO PEDIDO DEBEN ENCONTRAR JUSTIFICACIÓN CONSTITUCIONAL. </w:t>
      </w:r>
      <w:r w:rsidRPr="005C2C2B">
        <w:rPr>
          <w:color w:val="000000" w:themeColor="text1"/>
          <w:sz w:val="22"/>
          <w:szCs w:val="22"/>
        </w:rPr>
        <w:t>De la interpretación de lo dispuesto en el artículo 17, párrafo segundo, de la Constitución General de la República se advierte que en ese numeral se garantiza a favor de los gobernados el acceso efectivo a la justicia, derecho fundamental que consiste en la posibilidad de ser parte dentro de un proceso y a promover la actividad jurisdiccional que, una vez cumplidos los respectivos requisitos procesales, permita obtener una decisión en la que se resuelva sobre las pretensiones deducidas, y si bien en ese precepto se deja a la voluntad del legislador establecer los plazos y términos conforme a los cuales se administrará la justicia, debe estimarse que en la regulación respectiva puede limitarse esa prerrogativa fundamental, con el fin de lograr que las instancias de justicia constituyan el mecanismo expedito, eficaz y confiable al que los gobernados acudan para dirimir cualquiera de los conflictos que deriven de las relaciones jurídicas que entablan, siempre y cuando las condiciones o presupuestos procesales que se establezcan encuentren sustento en los diversos principios o derechos consagrados en la propia Constitución General de la República; por ende, para determinar si en un caso concreto la condición o presupuesto procesal establecidos por el legislador ordinario se apegan a lo dispuesto en la Norma Fundamental deberá tomarse en cuenta, entre otras circunstancias, la naturaleza de la relación jurídica de la que derivan las prerrogativas cuya tutela se solicita y el contexto constitucional en el que ésta se da</w:t>
      </w:r>
      <w:r w:rsidR="00041F00" w:rsidRPr="005C2C2B">
        <w:rPr>
          <w:color w:val="000000" w:themeColor="text1"/>
          <w:sz w:val="22"/>
          <w:szCs w:val="22"/>
        </w:rPr>
        <w:t>”</w:t>
      </w:r>
      <w:r w:rsidRPr="005C2C2B">
        <w:rPr>
          <w:color w:val="000000" w:themeColor="text1"/>
          <w:sz w:val="22"/>
          <w:szCs w:val="22"/>
        </w:rPr>
        <w:t xml:space="preserve">. </w:t>
      </w:r>
      <w:r w:rsidR="00041F00" w:rsidRPr="005C2C2B">
        <w:rPr>
          <w:color w:val="000000" w:themeColor="text1"/>
          <w:sz w:val="22"/>
          <w:szCs w:val="22"/>
        </w:rPr>
        <w:t xml:space="preserve">Registro 188804. [J]; 9a. Época; Pleno; S.J.F. y su Gaceta; Tomo XIV, Septiembre de 2001; Pág. 5. P./J. </w:t>
      </w:r>
      <w:r w:rsidR="00163AA2" w:rsidRPr="005C2C2B">
        <w:rPr>
          <w:color w:val="000000" w:themeColor="text1"/>
          <w:sz w:val="22"/>
          <w:szCs w:val="22"/>
        </w:rPr>
        <w:t>113/2001</w:t>
      </w:r>
      <w:r w:rsidR="00041F00" w:rsidRPr="005C2C2B">
        <w:rPr>
          <w:color w:val="000000" w:themeColor="text1"/>
          <w:sz w:val="22"/>
          <w:szCs w:val="22"/>
        </w:rPr>
        <w:t>.</w:t>
      </w:r>
    </w:p>
  </w:footnote>
  <w:footnote w:id="36">
    <w:p w14:paraId="172AF841" w14:textId="3728F7DD" w:rsidR="0050662E" w:rsidRPr="005C2C2B" w:rsidRDefault="0050662E" w:rsidP="00C07370">
      <w:pPr>
        <w:pStyle w:val="Estilo"/>
        <w:rPr>
          <w:rFonts w:cs="Arial"/>
          <w:color w:val="000000" w:themeColor="text1"/>
          <w:sz w:val="22"/>
        </w:rPr>
      </w:pPr>
      <w:r w:rsidRPr="005C2C2B">
        <w:rPr>
          <w:rStyle w:val="Refdenotaalpie"/>
          <w:rFonts w:cs="Arial"/>
          <w:color w:val="000000" w:themeColor="text1"/>
          <w:sz w:val="22"/>
        </w:rPr>
        <w:footnoteRef/>
      </w:r>
      <w:r w:rsidRPr="005C2C2B">
        <w:rPr>
          <w:rFonts w:cs="Arial"/>
          <w:color w:val="000000" w:themeColor="text1"/>
          <w:sz w:val="22"/>
        </w:rPr>
        <w:t xml:space="preserve"> “</w:t>
      </w:r>
      <w:r w:rsidRPr="005C2C2B">
        <w:rPr>
          <w:rFonts w:cs="Arial"/>
          <w:b/>
          <w:color w:val="000000" w:themeColor="text1"/>
          <w:sz w:val="22"/>
        </w:rPr>
        <w:t>Artículo 39</w:t>
      </w:r>
      <w:r w:rsidRPr="005C2C2B">
        <w:rPr>
          <w:rFonts w:cs="Arial"/>
          <w:color w:val="000000" w:themeColor="text1"/>
          <w:sz w:val="22"/>
        </w:rPr>
        <w:t>.- La soberanía nacional reside esencial y originariamente en el pueblo. Todo poder público dimana del pueblo y se instituye para beneficio de éste. El pueblo tiene en todo tiempo el inalienable derecho de alterar o modificar la forma de su gobierno”.</w:t>
      </w:r>
    </w:p>
  </w:footnote>
  <w:footnote w:id="37">
    <w:p w14:paraId="66829932" w14:textId="509C778B" w:rsidR="0050662E" w:rsidRPr="005C2C2B" w:rsidRDefault="0050662E" w:rsidP="00C07370">
      <w:pPr>
        <w:pStyle w:val="Estilo"/>
        <w:rPr>
          <w:rFonts w:cs="Arial"/>
          <w:color w:val="000000" w:themeColor="text1"/>
          <w:sz w:val="22"/>
        </w:rPr>
      </w:pPr>
      <w:r w:rsidRPr="005C2C2B">
        <w:rPr>
          <w:rStyle w:val="Refdenotaalpie"/>
          <w:rFonts w:cs="Arial"/>
          <w:color w:val="000000" w:themeColor="text1"/>
          <w:sz w:val="22"/>
        </w:rPr>
        <w:footnoteRef/>
      </w:r>
      <w:r w:rsidRPr="005C2C2B">
        <w:rPr>
          <w:rFonts w:cs="Arial"/>
          <w:color w:val="000000" w:themeColor="text1"/>
          <w:sz w:val="22"/>
        </w:rPr>
        <w:t xml:space="preserve"> “</w:t>
      </w:r>
      <w:r w:rsidRPr="005C2C2B">
        <w:rPr>
          <w:rFonts w:cs="Arial"/>
          <w:b/>
          <w:color w:val="000000" w:themeColor="text1"/>
          <w:sz w:val="22"/>
        </w:rPr>
        <w:t>Artículo 40</w:t>
      </w:r>
      <w:r w:rsidRPr="005C2C2B">
        <w:rPr>
          <w:rFonts w:cs="Arial"/>
          <w:color w:val="000000" w:themeColor="text1"/>
          <w:sz w:val="22"/>
        </w:rPr>
        <w:t>.- 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w:t>
      </w:r>
    </w:p>
  </w:footnote>
  <w:footnote w:id="38">
    <w:p w14:paraId="61B5BA08" w14:textId="77777777" w:rsidR="0080412A" w:rsidRPr="005C2C2B" w:rsidRDefault="0080412A" w:rsidP="00C07370">
      <w:pPr>
        <w:spacing w:before="0" w:after="0" w:line="240" w:lineRule="auto"/>
        <w:rPr>
          <w:rFonts w:eastAsia="Times New Roman"/>
          <w:color w:val="000000" w:themeColor="text1"/>
          <w:sz w:val="22"/>
          <w:szCs w:val="22"/>
          <w:lang w:eastAsia="es-MX"/>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rFonts w:eastAsia="Times New Roman"/>
          <w:color w:val="000000" w:themeColor="text1"/>
          <w:sz w:val="22"/>
          <w:szCs w:val="22"/>
          <w:lang w:eastAsia="es-MX"/>
        </w:rPr>
        <w:t>“</w:t>
      </w:r>
      <w:r w:rsidRPr="005C2C2B">
        <w:rPr>
          <w:rFonts w:eastAsia="Times New Roman"/>
          <w:b/>
          <w:bCs/>
          <w:color w:val="000000" w:themeColor="text1"/>
          <w:sz w:val="22"/>
          <w:szCs w:val="22"/>
          <w:lang w:eastAsia="es-MX"/>
        </w:rPr>
        <w:t>Artículo 41</w:t>
      </w:r>
      <w:r w:rsidRPr="005C2C2B">
        <w:rPr>
          <w:rFonts w:eastAsia="Times New Roman"/>
          <w:color w:val="000000" w:themeColor="text1"/>
          <w:sz w:val="22"/>
          <w:szCs w:val="22"/>
          <w:lang w:eastAsia="es-MX"/>
        </w:rPr>
        <w:t>.-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14:paraId="13AEB4DA" w14:textId="77777777" w:rsidR="0080412A" w:rsidRPr="005C2C2B" w:rsidRDefault="0080412A" w:rsidP="00C07370">
      <w:pPr>
        <w:spacing w:before="0" w:after="0" w:line="240" w:lineRule="auto"/>
        <w:rPr>
          <w:rFonts w:eastAsia="Times New Roman"/>
          <w:color w:val="000000" w:themeColor="text1"/>
          <w:sz w:val="22"/>
          <w:szCs w:val="22"/>
          <w:lang w:eastAsia="es-MX"/>
        </w:rPr>
      </w:pPr>
      <w:r w:rsidRPr="005C2C2B">
        <w:rPr>
          <w:rFonts w:eastAsia="Times New Roman"/>
          <w:color w:val="000000" w:themeColor="text1"/>
          <w:sz w:val="22"/>
          <w:szCs w:val="22"/>
          <w:lang w:eastAsia="es-MX"/>
        </w:rPr>
        <w:t>(…)</w:t>
      </w:r>
    </w:p>
    <w:p w14:paraId="305CD0E9" w14:textId="77777777" w:rsidR="0080412A" w:rsidRPr="005C2C2B" w:rsidRDefault="0080412A" w:rsidP="00C07370">
      <w:pPr>
        <w:spacing w:before="0" w:after="0" w:line="240" w:lineRule="auto"/>
        <w:rPr>
          <w:rFonts w:eastAsia="Times New Roman"/>
          <w:color w:val="000000" w:themeColor="text1"/>
          <w:sz w:val="22"/>
          <w:szCs w:val="22"/>
          <w:lang w:eastAsia="es-MX"/>
        </w:rPr>
      </w:pPr>
      <w:r w:rsidRPr="005C2C2B">
        <w:rPr>
          <w:rFonts w:eastAsia="Times New Roman"/>
          <w:color w:val="000000" w:themeColor="text1"/>
          <w:sz w:val="22"/>
          <w:szCs w:val="22"/>
          <w:u w:val="single"/>
          <w:lang w:eastAsia="es-MX"/>
        </w:rPr>
        <w:t>La renovación de los poderes Legislativo y Ejecutivo se realizará mediante elecciones libres, auténticas y periódicas, conforme a las siguientes bases</w:t>
      </w:r>
      <w:r w:rsidRPr="005C2C2B">
        <w:rPr>
          <w:rFonts w:eastAsia="Times New Roman"/>
          <w:color w:val="000000" w:themeColor="text1"/>
          <w:sz w:val="22"/>
          <w:szCs w:val="22"/>
          <w:lang w:eastAsia="es-MX"/>
        </w:rPr>
        <w:t>:</w:t>
      </w:r>
    </w:p>
    <w:p w14:paraId="73C73995" w14:textId="77777777" w:rsidR="0080412A" w:rsidRPr="005C2C2B" w:rsidRDefault="0080412A" w:rsidP="00C07370">
      <w:pPr>
        <w:spacing w:before="0" w:after="0" w:line="240" w:lineRule="auto"/>
        <w:rPr>
          <w:rFonts w:eastAsia="Times New Roman"/>
          <w:color w:val="000000" w:themeColor="text1"/>
          <w:sz w:val="22"/>
          <w:szCs w:val="22"/>
          <w:lang w:eastAsia="es-MX"/>
        </w:rPr>
      </w:pPr>
      <w:r w:rsidRPr="005C2C2B">
        <w:rPr>
          <w:rFonts w:eastAsia="Times New Roman"/>
          <w:color w:val="000000" w:themeColor="text1"/>
          <w:sz w:val="22"/>
          <w:szCs w:val="22"/>
          <w:lang w:eastAsia="es-MX"/>
        </w:rPr>
        <w:t>(…)</w:t>
      </w:r>
    </w:p>
    <w:p w14:paraId="3CF8F926" w14:textId="77777777" w:rsidR="0080412A" w:rsidRPr="005C2C2B" w:rsidRDefault="0080412A" w:rsidP="00C07370">
      <w:pPr>
        <w:spacing w:before="0" w:after="0" w:line="240" w:lineRule="auto"/>
        <w:rPr>
          <w:rFonts w:eastAsia="Times New Roman"/>
          <w:color w:val="000000" w:themeColor="text1"/>
          <w:sz w:val="22"/>
          <w:szCs w:val="22"/>
          <w:lang w:eastAsia="es-MX"/>
        </w:rPr>
      </w:pPr>
      <w:r w:rsidRPr="005C2C2B">
        <w:rPr>
          <w:rFonts w:eastAsia="Times New Roman"/>
          <w:b/>
          <w:bCs/>
          <w:color w:val="000000" w:themeColor="text1"/>
          <w:sz w:val="22"/>
          <w:szCs w:val="22"/>
          <w:lang w:eastAsia="es-MX"/>
        </w:rPr>
        <w:t>IV.</w:t>
      </w:r>
      <w:r w:rsidRPr="005C2C2B">
        <w:rPr>
          <w:rFonts w:eastAsia="Times New Roman"/>
          <w:color w:val="000000" w:themeColor="text1"/>
          <w:sz w:val="22"/>
          <w:szCs w:val="22"/>
          <w:lang w:eastAsia="es-MX"/>
        </w:rPr>
        <w:t xml:space="preserve"> </w:t>
      </w:r>
      <w:r w:rsidRPr="005C2C2B">
        <w:rPr>
          <w:rFonts w:eastAsia="Times New Roman"/>
          <w:color w:val="000000" w:themeColor="text1"/>
          <w:sz w:val="22"/>
          <w:szCs w:val="22"/>
          <w:u w:val="single"/>
          <w:lang w:eastAsia="es-MX"/>
        </w:rPr>
        <w:t>La ley establecerá los requisitos y las formas de realización de los procesos de selección y postulación de candidatos a cargos de elección popular, así como las reglas para las precampañas y las campañas electorales</w:t>
      </w:r>
      <w:r w:rsidRPr="005C2C2B">
        <w:rPr>
          <w:rFonts w:eastAsia="Times New Roman"/>
          <w:color w:val="000000" w:themeColor="text1"/>
          <w:sz w:val="22"/>
          <w:szCs w:val="22"/>
          <w:lang w:eastAsia="es-MX"/>
        </w:rPr>
        <w:t>.</w:t>
      </w:r>
    </w:p>
    <w:p w14:paraId="367AEF90" w14:textId="77777777" w:rsidR="0080412A" w:rsidRPr="005C2C2B" w:rsidRDefault="0080412A" w:rsidP="00C07370">
      <w:pPr>
        <w:spacing w:before="0" w:after="0" w:line="240" w:lineRule="auto"/>
        <w:rPr>
          <w:rFonts w:eastAsia="Times New Roman"/>
          <w:color w:val="000000" w:themeColor="text1"/>
          <w:sz w:val="22"/>
          <w:szCs w:val="22"/>
          <w:lang w:eastAsia="es-MX"/>
        </w:rPr>
      </w:pPr>
      <w:r w:rsidRPr="005C2C2B">
        <w:rPr>
          <w:rFonts w:eastAsia="Times New Roman"/>
          <w:color w:val="000000" w:themeColor="text1"/>
          <w:sz w:val="22"/>
          <w:szCs w:val="22"/>
          <w:lang w:eastAsia="es-MX"/>
        </w:rPr>
        <w:t>(…)</w:t>
      </w:r>
    </w:p>
    <w:p w14:paraId="2545291A" w14:textId="77777777" w:rsidR="0080412A" w:rsidRPr="005C2C2B" w:rsidRDefault="0080412A" w:rsidP="00C07370">
      <w:pPr>
        <w:spacing w:before="0" w:after="0" w:line="240" w:lineRule="auto"/>
        <w:rPr>
          <w:rFonts w:eastAsia="Times New Roman"/>
          <w:color w:val="000000" w:themeColor="text1"/>
          <w:sz w:val="22"/>
          <w:szCs w:val="22"/>
          <w:lang w:eastAsia="es-MX"/>
        </w:rPr>
      </w:pPr>
      <w:r w:rsidRPr="005C2C2B">
        <w:rPr>
          <w:rFonts w:eastAsia="Times New Roman"/>
          <w:color w:val="000000" w:themeColor="text1"/>
          <w:sz w:val="22"/>
          <w:szCs w:val="22"/>
          <w:lang w:eastAsia="es-MX"/>
        </w:rPr>
        <w:t xml:space="preserve">V. La </w:t>
      </w:r>
      <w:r w:rsidRPr="005C2C2B">
        <w:rPr>
          <w:rFonts w:eastAsia="Times New Roman"/>
          <w:color w:val="000000" w:themeColor="text1"/>
          <w:sz w:val="22"/>
          <w:szCs w:val="22"/>
          <w:u w:val="single"/>
          <w:lang w:eastAsia="es-MX"/>
        </w:rPr>
        <w:t>organización de las elecciones es una función estatal que se realiza a través del Instituto Nacional Electoral y de los organismos públicos locales</w:t>
      </w:r>
      <w:r w:rsidRPr="005C2C2B">
        <w:rPr>
          <w:rFonts w:eastAsia="Times New Roman"/>
          <w:color w:val="000000" w:themeColor="text1"/>
          <w:sz w:val="22"/>
          <w:szCs w:val="22"/>
          <w:lang w:eastAsia="es-MX"/>
        </w:rPr>
        <w:t>, en los términos que establece esta Constitución.</w:t>
      </w:r>
    </w:p>
    <w:p w14:paraId="6946905A" w14:textId="77777777" w:rsidR="0080412A" w:rsidRPr="005C2C2B" w:rsidRDefault="0080412A" w:rsidP="00C07370">
      <w:pPr>
        <w:spacing w:before="0" w:after="0" w:line="240" w:lineRule="auto"/>
        <w:rPr>
          <w:rFonts w:eastAsia="Times New Roman"/>
          <w:color w:val="000000" w:themeColor="text1"/>
          <w:sz w:val="22"/>
          <w:szCs w:val="22"/>
          <w:lang w:eastAsia="es-MX"/>
        </w:rPr>
      </w:pPr>
      <w:r w:rsidRPr="005C2C2B">
        <w:rPr>
          <w:rFonts w:eastAsia="Times New Roman"/>
          <w:color w:val="000000" w:themeColor="text1"/>
          <w:sz w:val="22"/>
          <w:szCs w:val="22"/>
          <w:lang w:eastAsia="es-MX"/>
        </w:rPr>
        <w:t>(…)</w:t>
      </w:r>
    </w:p>
    <w:p w14:paraId="531CB897" w14:textId="77777777" w:rsidR="0080412A" w:rsidRPr="005C2C2B" w:rsidRDefault="0080412A" w:rsidP="00C07370">
      <w:pPr>
        <w:spacing w:before="0" w:after="0" w:line="240" w:lineRule="auto"/>
        <w:rPr>
          <w:rFonts w:eastAsia="Times New Roman"/>
          <w:color w:val="000000" w:themeColor="text1"/>
          <w:sz w:val="22"/>
          <w:szCs w:val="22"/>
          <w:lang w:eastAsia="es-MX"/>
        </w:rPr>
      </w:pPr>
      <w:r w:rsidRPr="005C2C2B">
        <w:rPr>
          <w:rFonts w:eastAsia="Times New Roman"/>
          <w:b/>
          <w:bCs/>
          <w:color w:val="000000" w:themeColor="text1"/>
          <w:sz w:val="22"/>
          <w:szCs w:val="22"/>
          <w:lang w:eastAsia="es-MX"/>
        </w:rPr>
        <w:t>VI.</w:t>
      </w:r>
      <w:r w:rsidRPr="005C2C2B">
        <w:rPr>
          <w:rFonts w:eastAsia="Times New Roman"/>
          <w:color w:val="000000" w:themeColor="text1"/>
          <w:sz w:val="22"/>
          <w:szCs w:val="22"/>
          <w:lang w:eastAsia="es-MX"/>
        </w:rPr>
        <w:t xml:space="preserve"> Para garantizar los </w:t>
      </w:r>
      <w:r w:rsidRPr="005C2C2B">
        <w:rPr>
          <w:rFonts w:eastAsia="Times New Roman"/>
          <w:color w:val="000000" w:themeColor="text1"/>
          <w:sz w:val="22"/>
          <w:szCs w:val="22"/>
          <w:u w:val="single"/>
          <w:lang w:eastAsia="es-MX"/>
        </w:rPr>
        <w:t>principios de constitucionalidad y legalidad de los actos y resoluciones electorales</w:t>
      </w:r>
      <w:r w:rsidRPr="005C2C2B">
        <w:rPr>
          <w:rFonts w:eastAsia="Times New Roman"/>
          <w:color w:val="000000" w:themeColor="text1"/>
          <w:sz w:val="22"/>
          <w:szCs w:val="22"/>
          <w:lang w:eastAsia="es-MX"/>
        </w:rPr>
        <w:t xml:space="preserve">, incluidos los relativos a los procesos de consulta popular y de revocación de mandato, </w:t>
      </w:r>
      <w:r w:rsidRPr="005C2C2B">
        <w:rPr>
          <w:rFonts w:eastAsia="Times New Roman"/>
          <w:color w:val="000000" w:themeColor="text1"/>
          <w:sz w:val="22"/>
          <w:szCs w:val="22"/>
          <w:u w:val="single"/>
          <w:lang w:eastAsia="es-MX"/>
        </w:rPr>
        <w:t>se establecerá un sistema de medios de impugnación en los términos que señalen esta Constitución y la ley</w:t>
      </w:r>
      <w:r w:rsidRPr="005C2C2B">
        <w:rPr>
          <w:rFonts w:eastAsia="Times New Roman"/>
          <w:color w:val="000000" w:themeColor="text1"/>
          <w:sz w:val="22"/>
          <w:szCs w:val="22"/>
          <w:lang w:eastAsia="es-MX"/>
        </w:rPr>
        <w:t>. Dicho sistema dará definitividad a las distintas etapas de los procesos electorales, de consulta popular y de revocación de mandato, y garantizará la protección de los derechos políticos de los ciudadanos de votar, ser votados y de asociación, en los términos del artículo 99 de esta Constitución.</w:t>
      </w:r>
    </w:p>
    <w:p w14:paraId="691C4659" w14:textId="781AEBFB" w:rsidR="0080412A" w:rsidRPr="005C2C2B" w:rsidRDefault="0080412A" w:rsidP="00C07370">
      <w:pPr>
        <w:spacing w:before="0" w:after="0" w:line="240" w:lineRule="auto"/>
        <w:rPr>
          <w:color w:val="000000" w:themeColor="text1"/>
          <w:sz w:val="22"/>
          <w:szCs w:val="22"/>
        </w:rPr>
      </w:pPr>
      <w:r w:rsidRPr="005C2C2B">
        <w:rPr>
          <w:rFonts w:eastAsia="Times New Roman"/>
          <w:color w:val="000000" w:themeColor="text1"/>
          <w:sz w:val="22"/>
          <w:szCs w:val="22"/>
          <w:lang w:eastAsia="es-MX"/>
        </w:rPr>
        <w:t>(…)”.</w:t>
      </w:r>
    </w:p>
  </w:footnote>
  <w:footnote w:id="39">
    <w:p w14:paraId="3BF713EB" w14:textId="77777777" w:rsidR="002B1B96" w:rsidRPr="005C2C2B" w:rsidRDefault="002B1B96" w:rsidP="00C07370">
      <w:pPr>
        <w:pStyle w:val="Prrafo"/>
        <w:spacing w:before="0" w:after="0" w:line="240" w:lineRule="auto"/>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b/>
          <w:bCs/>
          <w:color w:val="000000" w:themeColor="text1"/>
          <w:sz w:val="22"/>
          <w:szCs w:val="22"/>
        </w:rPr>
        <w:t>Artículo 35</w:t>
      </w:r>
      <w:r w:rsidRPr="005C2C2B">
        <w:rPr>
          <w:color w:val="000000" w:themeColor="text1"/>
          <w:sz w:val="22"/>
          <w:szCs w:val="22"/>
        </w:rPr>
        <w:t>.- Son derechos de la ciudadanía:</w:t>
      </w:r>
    </w:p>
    <w:p w14:paraId="10C3F9DD" w14:textId="77777777" w:rsidR="002B1B96" w:rsidRPr="005C2C2B" w:rsidRDefault="002B1B96" w:rsidP="00C07370">
      <w:pPr>
        <w:pStyle w:val="Prrafo"/>
        <w:spacing w:before="0" w:after="0" w:line="240" w:lineRule="auto"/>
        <w:rPr>
          <w:color w:val="000000" w:themeColor="text1"/>
          <w:sz w:val="22"/>
          <w:szCs w:val="22"/>
        </w:rPr>
      </w:pPr>
      <w:r w:rsidRPr="005C2C2B">
        <w:rPr>
          <w:color w:val="000000" w:themeColor="text1"/>
          <w:sz w:val="22"/>
          <w:szCs w:val="22"/>
        </w:rPr>
        <w:t xml:space="preserve">I.- </w:t>
      </w:r>
      <w:r w:rsidRPr="005C2C2B">
        <w:rPr>
          <w:color w:val="000000" w:themeColor="text1"/>
          <w:sz w:val="22"/>
          <w:szCs w:val="22"/>
          <w:u w:val="single"/>
        </w:rPr>
        <w:t>Votar</w:t>
      </w:r>
      <w:r w:rsidRPr="005C2C2B">
        <w:rPr>
          <w:color w:val="000000" w:themeColor="text1"/>
          <w:sz w:val="22"/>
          <w:szCs w:val="22"/>
        </w:rPr>
        <w:t xml:space="preserve"> en las elecciones populares;</w:t>
      </w:r>
    </w:p>
    <w:p w14:paraId="49553E72" w14:textId="77777777" w:rsidR="002B1B96" w:rsidRPr="005C2C2B" w:rsidRDefault="002B1B96" w:rsidP="00C07370">
      <w:pPr>
        <w:pStyle w:val="Prrafo"/>
        <w:spacing w:before="0" w:after="0" w:line="240" w:lineRule="auto"/>
        <w:rPr>
          <w:color w:val="000000" w:themeColor="text1"/>
          <w:sz w:val="22"/>
          <w:szCs w:val="22"/>
        </w:rPr>
      </w:pPr>
      <w:r w:rsidRPr="005C2C2B">
        <w:rPr>
          <w:color w:val="000000" w:themeColor="text1"/>
          <w:sz w:val="22"/>
          <w:szCs w:val="22"/>
        </w:rPr>
        <w:t xml:space="preserve">II.- </w:t>
      </w:r>
      <w:r w:rsidRPr="005C2C2B">
        <w:rPr>
          <w:color w:val="000000" w:themeColor="text1"/>
          <w:sz w:val="22"/>
          <w:szCs w:val="22"/>
          <w:u w:val="single"/>
        </w:rPr>
        <w:t>Poder ser votada</w:t>
      </w:r>
      <w:r w:rsidRPr="005C2C2B">
        <w:rPr>
          <w:color w:val="000000" w:themeColor="text1"/>
          <w:sz w:val="22"/>
          <w:szCs w:val="22"/>
        </w:rPr>
        <w:t xml:space="preserve">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14:paraId="664966DD" w14:textId="77777777" w:rsidR="002B1B96" w:rsidRPr="005C2C2B" w:rsidRDefault="002B1B96" w:rsidP="00C07370">
      <w:pPr>
        <w:pStyle w:val="Prrafo"/>
        <w:spacing w:before="0" w:after="0" w:line="240" w:lineRule="auto"/>
        <w:rPr>
          <w:color w:val="000000" w:themeColor="text1"/>
          <w:sz w:val="22"/>
          <w:szCs w:val="22"/>
        </w:rPr>
      </w:pPr>
      <w:r w:rsidRPr="005C2C2B">
        <w:rPr>
          <w:color w:val="000000" w:themeColor="text1"/>
          <w:sz w:val="22"/>
          <w:szCs w:val="22"/>
        </w:rPr>
        <w:t xml:space="preserve">III.- </w:t>
      </w:r>
      <w:r w:rsidRPr="005C2C2B">
        <w:rPr>
          <w:color w:val="000000" w:themeColor="text1"/>
          <w:sz w:val="22"/>
          <w:szCs w:val="22"/>
          <w:u w:val="single"/>
        </w:rPr>
        <w:t>Asociarse</w:t>
      </w:r>
      <w:r w:rsidRPr="005C2C2B">
        <w:rPr>
          <w:color w:val="000000" w:themeColor="text1"/>
          <w:sz w:val="22"/>
          <w:szCs w:val="22"/>
        </w:rPr>
        <w:t xml:space="preserve"> individual y libremente para tomar parte en forma pacífica en los asuntos políticos del país;</w:t>
      </w:r>
    </w:p>
    <w:p w14:paraId="6CC22EE6" w14:textId="5D6A0A34" w:rsidR="002B1B96" w:rsidRPr="005C2C2B" w:rsidRDefault="002B1B96" w:rsidP="00C07370">
      <w:pPr>
        <w:pStyle w:val="Prrafo"/>
        <w:spacing w:before="0" w:after="0" w:line="240" w:lineRule="auto"/>
        <w:rPr>
          <w:color w:val="000000" w:themeColor="text1"/>
          <w:sz w:val="22"/>
          <w:szCs w:val="22"/>
        </w:rPr>
      </w:pPr>
      <w:r w:rsidRPr="005C2C2B">
        <w:rPr>
          <w:color w:val="000000" w:themeColor="text1"/>
          <w:sz w:val="22"/>
          <w:szCs w:val="22"/>
        </w:rPr>
        <w:t xml:space="preserve">(…) VI.- Poder </w:t>
      </w:r>
      <w:r w:rsidRPr="005C2C2B">
        <w:rPr>
          <w:color w:val="000000" w:themeColor="text1"/>
          <w:sz w:val="22"/>
          <w:szCs w:val="22"/>
          <w:u w:val="single"/>
        </w:rPr>
        <w:t>ser nombrado para cualquier empleo o comisión</w:t>
      </w:r>
      <w:r w:rsidRPr="005C2C2B">
        <w:rPr>
          <w:color w:val="000000" w:themeColor="text1"/>
          <w:sz w:val="22"/>
          <w:szCs w:val="22"/>
        </w:rPr>
        <w:t xml:space="preserve"> del servicio público, teniendo las calidades que establezca la ley;</w:t>
      </w:r>
    </w:p>
    <w:p w14:paraId="708E26F0" w14:textId="77777777" w:rsidR="002B1B96" w:rsidRPr="005C2C2B" w:rsidRDefault="002B1B96" w:rsidP="00C07370">
      <w:pPr>
        <w:pStyle w:val="Prrafo"/>
        <w:spacing w:before="0" w:after="0" w:line="240" w:lineRule="auto"/>
        <w:rPr>
          <w:color w:val="000000" w:themeColor="text1"/>
          <w:sz w:val="22"/>
          <w:szCs w:val="22"/>
        </w:rPr>
      </w:pPr>
      <w:r w:rsidRPr="005C2C2B">
        <w:rPr>
          <w:color w:val="000000" w:themeColor="text1"/>
          <w:sz w:val="22"/>
          <w:szCs w:val="22"/>
        </w:rPr>
        <w:t xml:space="preserve">VII.- </w:t>
      </w:r>
      <w:r w:rsidRPr="005C2C2B">
        <w:rPr>
          <w:color w:val="000000" w:themeColor="text1"/>
          <w:sz w:val="22"/>
          <w:szCs w:val="22"/>
          <w:u w:val="single"/>
        </w:rPr>
        <w:t>Iniciar leyes</w:t>
      </w:r>
      <w:r w:rsidRPr="005C2C2B">
        <w:rPr>
          <w:color w:val="000000" w:themeColor="text1"/>
          <w:sz w:val="22"/>
          <w:szCs w:val="22"/>
        </w:rPr>
        <w:t>, en los términos y con los requisitos que señalen esta Constitución y la Ley del Congreso. El Instituto Nacional Electoral tendrá las facultades que en esta materia le otorgue la ley;</w:t>
      </w:r>
    </w:p>
    <w:p w14:paraId="1878A8EB" w14:textId="77777777" w:rsidR="002B1B96" w:rsidRPr="005C2C2B" w:rsidRDefault="002B1B96" w:rsidP="00C07370">
      <w:pPr>
        <w:pStyle w:val="Prrafo"/>
        <w:spacing w:before="0" w:after="0" w:line="240" w:lineRule="auto"/>
        <w:rPr>
          <w:color w:val="000000" w:themeColor="text1"/>
          <w:sz w:val="22"/>
          <w:szCs w:val="22"/>
        </w:rPr>
      </w:pPr>
      <w:r w:rsidRPr="005C2C2B">
        <w:rPr>
          <w:color w:val="000000" w:themeColor="text1"/>
          <w:sz w:val="22"/>
          <w:szCs w:val="22"/>
        </w:rPr>
        <w:t xml:space="preserve">VIII.- </w:t>
      </w:r>
      <w:r w:rsidRPr="005C2C2B">
        <w:rPr>
          <w:color w:val="000000" w:themeColor="text1"/>
          <w:sz w:val="22"/>
          <w:szCs w:val="22"/>
          <w:u w:val="single"/>
        </w:rPr>
        <w:t>Votar en las consultas populares</w:t>
      </w:r>
      <w:r w:rsidRPr="005C2C2B">
        <w:rPr>
          <w:color w:val="000000" w:themeColor="text1"/>
          <w:sz w:val="22"/>
          <w:szCs w:val="22"/>
        </w:rPr>
        <w:t xml:space="preserve"> sobre temas de trascendencia nacional o regional, las que se sujetarán a lo siguiente:</w:t>
      </w:r>
    </w:p>
    <w:p w14:paraId="3F7C0DCF" w14:textId="19A4459C" w:rsidR="002B1B96" w:rsidRPr="005C2C2B" w:rsidRDefault="002B1B96" w:rsidP="00C07370">
      <w:pPr>
        <w:pStyle w:val="Prrafo"/>
        <w:spacing w:before="0" w:after="0" w:line="240" w:lineRule="auto"/>
        <w:rPr>
          <w:color w:val="000000" w:themeColor="text1"/>
          <w:sz w:val="22"/>
          <w:szCs w:val="22"/>
        </w:rPr>
      </w:pPr>
      <w:r w:rsidRPr="005C2C2B">
        <w:rPr>
          <w:color w:val="000000" w:themeColor="text1"/>
          <w:sz w:val="22"/>
          <w:szCs w:val="22"/>
        </w:rPr>
        <w:t xml:space="preserve">(…) IX.- Participar en los procesos de </w:t>
      </w:r>
      <w:r w:rsidRPr="005C2C2B">
        <w:rPr>
          <w:color w:val="000000" w:themeColor="text1"/>
          <w:sz w:val="22"/>
          <w:szCs w:val="22"/>
          <w:u w:val="single"/>
        </w:rPr>
        <w:t>revocación de mandato</w:t>
      </w:r>
      <w:r w:rsidRPr="005C2C2B">
        <w:rPr>
          <w:color w:val="000000" w:themeColor="text1"/>
          <w:sz w:val="22"/>
          <w:szCs w:val="22"/>
        </w:rPr>
        <w:t>.</w:t>
      </w:r>
    </w:p>
    <w:p w14:paraId="41AD4BA7" w14:textId="3000534B" w:rsidR="002B1B96" w:rsidRPr="005C2C2B" w:rsidRDefault="002B1B96" w:rsidP="00C07370">
      <w:pPr>
        <w:pStyle w:val="Prrafo"/>
        <w:spacing w:before="0" w:after="0" w:line="240" w:lineRule="auto"/>
        <w:rPr>
          <w:color w:val="000000" w:themeColor="text1"/>
          <w:sz w:val="22"/>
          <w:szCs w:val="22"/>
        </w:rPr>
      </w:pPr>
      <w:r w:rsidRPr="005C2C2B">
        <w:rPr>
          <w:color w:val="000000" w:themeColor="text1"/>
          <w:sz w:val="22"/>
          <w:szCs w:val="22"/>
        </w:rPr>
        <w:t>(…)”.</w:t>
      </w:r>
    </w:p>
  </w:footnote>
  <w:footnote w:id="40">
    <w:p w14:paraId="3A5C4C79" w14:textId="6B14D7B6" w:rsidR="00284495" w:rsidRPr="005C2C2B" w:rsidRDefault="00284495" w:rsidP="00C07370">
      <w:pPr>
        <w:pStyle w:val="Prrafo"/>
        <w:spacing w:before="0" w:after="0" w:line="240" w:lineRule="auto"/>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Así lo ha sostenido este Tribunal Pleno en la jurisprudencia P./J. 83/2007, de rubro: “</w:t>
      </w:r>
      <w:r w:rsidRPr="005C2C2B">
        <w:rPr>
          <w:b/>
          <w:bCs/>
          <w:color w:val="000000" w:themeColor="text1"/>
          <w:sz w:val="22"/>
          <w:szCs w:val="22"/>
        </w:rPr>
        <w:t>DERECHOS DE PARTICIPACIÓN POLÍTICA A VOTAR Y SER VOTADO. SON DERECHOS FUNDAMENTALES PROTEGIDOS A TRAVÉS DE LOS PROCESOS DE CONTROL CONSTITUCIONAL ESTABLECIDOS EN LA CONSTITUCIÓN FEDERAL, DE ACUERDO AL SISTEMA COMPETENCIAL QUE LA MISMA PREVÉ</w:t>
      </w:r>
      <w:r w:rsidRPr="005C2C2B">
        <w:rPr>
          <w:color w:val="000000" w:themeColor="text1"/>
          <w:sz w:val="22"/>
          <w:szCs w:val="22"/>
        </w:rPr>
        <w:t>”. Registro 170783. [J]; 9a. Época; Pleno; Semanario Judicial de la Federación y su Gaceta; tomo XXVI, diciembre de 2007, página 984. P./J. 83/2007.</w:t>
      </w:r>
    </w:p>
  </w:footnote>
  <w:footnote w:id="41">
    <w:p w14:paraId="265B62DE" w14:textId="3422A2F5" w:rsidR="00BB11B0" w:rsidRPr="005C2C2B" w:rsidRDefault="007F4AAD"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BB11B0" w:rsidRPr="005C2C2B">
        <w:rPr>
          <w:color w:val="000000" w:themeColor="text1"/>
          <w:sz w:val="22"/>
          <w:szCs w:val="22"/>
        </w:rPr>
        <w:t xml:space="preserve">El Tribunal Constitucional de España ha desarrollado el concepto de </w:t>
      </w:r>
      <w:r w:rsidR="00BB11B0" w:rsidRPr="005C2C2B">
        <w:rPr>
          <w:i/>
          <w:iCs/>
          <w:color w:val="000000" w:themeColor="text1"/>
          <w:sz w:val="22"/>
          <w:szCs w:val="22"/>
        </w:rPr>
        <w:t xml:space="preserve">ius in officium </w:t>
      </w:r>
      <w:r w:rsidR="00BB11B0" w:rsidRPr="005C2C2B">
        <w:rPr>
          <w:color w:val="000000" w:themeColor="text1"/>
          <w:sz w:val="22"/>
          <w:szCs w:val="22"/>
        </w:rPr>
        <w:t xml:space="preserve">o derecho de acceso y desempeño de los cargos públicos en una gran diversidad de sentencias. Originalmente y en forma destacada en las sentencias 32/1985, de </w:t>
      </w:r>
      <w:r w:rsidR="00846C56" w:rsidRPr="005C2C2B">
        <w:rPr>
          <w:color w:val="000000" w:themeColor="text1"/>
          <w:sz w:val="22"/>
          <w:szCs w:val="22"/>
        </w:rPr>
        <w:t>6 de marzo</w:t>
      </w:r>
      <w:r w:rsidR="007C1F93">
        <w:rPr>
          <w:color w:val="000000" w:themeColor="text1"/>
          <w:sz w:val="22"/>
          <w:szCs w:val="22"/>
        </w:rPr>
        <w:t xml:space="preserve"> de 1985</w:t>
      </w:r>
      <w:r w:rsidR="00846C56" w:rsidRPr="005C2C2B">
        <w:rPr>
          <w:color w:val="000000" w:themeColor="text1"/>
          <w:sz w:val="22"/>
          <w:szCs w:val="22"/>
        </w:rPr>
        <w:t xml:space="preserve">; </w:t>
      </w:r>
      <w:r w:rsidR="00BB11B0" w:rsidRPr="005C2C2B">
        <w:rPr>
          <w:color w:val="000000" w:themeColor="text1"/>
          <w:sz w:val="22"/>
          <w:szCs w:val="22"/>
        </w:rPr>
        <w:t>161/1988, de 20 de septiembre</w:t>
      </w:r>
      <w:r w:rsidR="007C1F93">
        <w:rPr>
          <w:color w:val="000000" w:themeColor="text1"/>
          <w:sz w:val="22"/>
          <w:szCs w:val="22"/>
        </w:rPr>
        <w:t xml:space="preserve"> de 1988</w:t>
      </w:r>
      <w:r w:rsidR="00BB11B0" w:rsidRPr="005C2C2B">
        <w:rPr>
          <w:color w:val="000000" w:themeColor="text1"/>
          <w:sz w:val="22"/>
          <w:szCs w:val="22"/>
        </w:rPr>
        <w:t>; 181/1989, de 3 de noviembre</w:t>
      </w:r>
      <w:r w:rsidR="007C1F93">
        <w:rPr>
          <w:color w:val="000000" w:themeColor="text1"/>
          <w:sz w:val="22"/>
          <w:szCs w:val="22"/>
        </w:rPr>
        <w:t xml:space="preserve"> de 1989</w:t>
      </w:r>
      <w:r w:rsidR="00BB11B0" w:rsidRPr="005C2C2B">
        <w:rPr>
          <w:color w:val="000000" w:themeColor="text1"/>
          <w:sz w:val="22"/>
          <w:szCs w:val="22"/>
        </w:rPr>
        <w:t>; 205/1990, de 13 de diciembre</w:t>
      </w:r>
      <w:r w:rsidR="007C1F93">
        <w:rPr>
          <w:color w:val="000000" w:themeColor="text1"/>
          <w:sz w:val="22"/>
          <w:szCs w:val="22"/>
        </w:rPr>
        <w:t xml:space="preserve"> de 1990</w:t>
      </w:r>
      <w:r w:rsidR="00BB11B0" w:rsidRPr="005C2C2B">
        <w:rPr>
          <w:color w:val="000000" w:themeColor="text1"/>
          <w:sz w:val="22"/>
          <w:szCs w:val="22"/>
        </w:rPr>
        <w:t>; 107/2001, de 23 de abril</w:t>
      </w:r>
      <w:r w:rsidR="007C1F93">
        <w:rPr>
          <w:color w:val="000000" w:themeColor="text1"/>
          <w:sz w:val="22"/>
          <w:szCs w:val="22"/>
        </w:rPr>
        <w:t xml:space="preserve"> de 2001</w:t>
      </w:r>
      <w:r w:rsidR="00BB11B0" w:rsidRPr="005C2C2B">
        <w:rPr>
          <w:color w:val="000000" w:themeColor="text1"/>
          <w:sz w:val="22"/>
          <w:szCs w:val="22"/>
        </w:rPr>
        <w:t>; 177/2002, de 14 de octubre</w:t>
      </w:r>
      <w:r w:rsidR="007C1F93">
        <w:rPr>
          <w:color w:val="000000" w:themeColor="text1"/>
          <w:sz w:val="22"/>
          <w:szCs w:val="22"/>
        </w:rPr>
        <w:t xml:space="preserve"> de 2002</w:t>
      </w:r>
      <w:r w:rsidR="00BB11B0" w:rsidRPr="005C2C2B">
        <w:rPr>
          <w:color w:val="000000" w:themeColor="text1"/>
          <w:sz w:val="22"/>
          <w:szCs w:val="22"/>
        </w:rPr>
        <w:t>; 361/2006, de 18 de diciembre</w:t>
      </w:r>
      <w:r w:rsidR="007C1F93">
        <w:rPr>
          <w:color w:val="000000" w:themeColor="text1"/>
          <w:sz w:val="22"/>
          <w:szCs w:val="22"/>
        </w:rPr>
        <w:t xml:space="preserve"> de 2006</w:t>
      </w:r>
      <w:r w:rsidR="00BB11B0" w:rsidRPr="005C2C2B">
        <w:rPr>
          <w:color w:val="000000" w:themeColor="text1"/>
          <w:sz w:val="22"/>
          <w:szCs w:val="22"/>
        </w:rPr>
        <w:t>, entre muchas más.</w:t>
      </w:r>
    </w:p>
    <w:p w14:paraId="5F3BE5F4" w14:textId="1773DD6F" w:rsidR="005765C9" w:rsidRPr="005C2C2B" w:rsidRDefault="005765C9" w:rsidP="00C07370">
      <w:pPr>
        <w:pStyle w:val="Textonotapie"/>
        <w:rPr>
          <w:color w:val="000000" w:themeColor="text1"/>
          <w:sz w:val="22"/>
          <w:szCs w:val="22"/>
        </w:rPr>
      </w:pPr>
      <w:r w:rsidRPr="005C2C2B">
        <w:rPr>
          <w:color w:val="000000" w:themeColor="text1"/>
          <w:sz w:val="22"/>
          <w:szCs w:val="22"/>
        </w:rPr>
        <w:t xml:space="preserve">La Corte Constitucional de Colombia también ha adoptado la doctrina del </w:t>
      </w:r>
      <w:r w:rsidRPr="005C2C2B">
        <w:rPr>
          <w:i/>
          <w:iCs/>
          <w:color w:val="000000" w:themeColor="text1"/>
          <w:sz w:val="22"/>
          <w:szCs w:val="22"/>
        </w:rPr>
        <w:t>ius in officium</w:t>
      </w:r>
      <w:r w:rsidR="003C68D6" w:rsidRPr="005C2C2B">
        <w:rPr>
          <w:i/>
          <w:iCs/>
          <w:color w:val="000000" w:themeColor="text1"/>
          <w:sz w:val="22"/>
          <w:szCs w:val="22"/>
        </w:rPr>
        <w:t xml:space="preserve"> </w:t>
      </w:r>
      <w:r w:rsidR="003C68D6" w:rsidRPr="005C2C2B">
        <w:rPr>
          <w:color w:val="000000" w:themeColor="text1"/>
          <w:sz w:val="22"/>
          <w:szCs w:val="22"/>
        </w:rPr>
        <w:t>en su sentencia T-983A/04, de 8 de octubre de 2004.</w:t>
      </w:r>
    </w:p>
  </w:footnote>
  <w:footnote w:id="42">
    <w:p w14:paraId="55054472" w14:textId="2F015EA9" w:rsidR="00846C56" w:rsidRPr="005C2C2B" w:rsidRDefault="00846C56" w:rsidP="00C07370">
      <w:pPr>
        <w:pStyle w:val="Textonotapie"/>
        <w:rPr>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color w:val="000000" w:themeColor="text1"/>
          <w:sz w:val="22"/>
          <w:szCs w:val="22"/>
          <w:lang w:val="es-ES"/>
        </w:rPr>
        <w:t xml:space="preserve">Sentencia del Tribunal Constitucional de España </w:t>
      </w:r>
      <w:r w:rsidRPr="005C2C2B">
        <w:rPr>
          <w:color w:val="000000" w:themeColor="text1"/>
          <w:sz w:val="22"/>
          <w:szCs w:val="22"/>
        </w:rPr>
        <w:t>161/1988, de 20 de septiembre</w:t>
      </w:r>
      <w:r w:rsidR="007C1F93">
        <w:rPr>
          <w:color w:val="000000" w:themeColor="text1"/>
          <w:sz w:val="22"/>
          <w:szCs w:val="22"/>
        </w:rPr>
        <w:t xml:space="preserve"> de 1988</w:t>
      </w:r>
      <w:r w:rsidRPr="005C2C2B">
        <w:rPr>
          <w:color w:val="000000" w:themeColor="text1"/>
          <w:sz w:val="22"/>
          <w:szCs w:val="22"/>
        </w:rPr>
        <w:t>.</w:t>
      </w:r>
    </w:p>
  </w:footnote>
  <w:footnote w:id="43">
    <w:p w14:paraId="779DA378" w14:textId="3F4F2446" w:rsidR="00962114" w:rsidRPr="005C2C2B" w:rsidRDefault="00962114" w:rsidP="00C07370">
      <w:pPr>
        <w:pStyle w:val="Textonotapie"/>
        <w:rPr>
          <w:color w:val="000000" w:themeColor="text1"/>
          <w:sz w:val="22"/>
          <w:szCs w:val="22"/>
          <w:lang w:val="en-US"/>
        </w:rPr>
      </w:pPr>
      <w:r w:rsidRPr="005C2C2B">
        <w:rPr>
          <w:rStyle w:val="Refdenotaalpie"/>
          <w:color w:val="000000" w:themeColor="text1"/>
          <w:sz w:val="22"/>
          <w:szCs w:val="22"/>
        </w:rPr>
        <w:footnoteRef/>
      </w:r>
      <w:r w:rsidRPr="005C2C2B">
        <w:rPr>
          <w:color w:val="000000" w:themeColor="text1"/>
          <w:sz w:val="22"/>
          <w:szCs w:val="22"/>
          <w:lang w:val="en-US"/>
        </w:rPr>
        <w:t xml:space="preserve"> </w:t>
      </w:r>
      <w:r w:rsidR="00E6654D" w:rsidRPr="005C2C2B">
        <w:rPr>
          <w:i/>
          <w:iCs/>
          <w:color w:val="000000" w:themeColor="text1"/>
          <w:sz w:val="22"/>
          <w:szCs w:val="22"/>
          <w:lang w:val="en-US"/>
        </w:rPr>
        <w:t xml:space="preserve">Caso </w:t>
      </w:r>
      <w:r w:rsidRPr="005C2C2B">
        <w:rPr>
          <w:i/>
          <w:iCs/>
          <w:color w:val="000000" w:themeColor="text1"/>
          <w:sz w:val="22"/>
          <w:szCs w:val="22"/>
          <w:lang w:val="en-US"/>
        </w:rPr>
        <w:t>Marbury v. Madison</w:t>
      </w:r>
      <w:r w:rsidR="00034D95" w:rsidRPr="005C2C2B">
        <w:rPr>
          <w:i/>
          <w:iCs/>
          <w:color w:val="000000" w:themeColor="text1"/>
          <w:sz w:val="22"/>
          <w:szCs w:val="22"/>
          <w:lang w:val="en-US"/>
        </w:rPr>
        <w:t>,</w:t>
      </w:r>
      <w:r w:rsidRPr="005C2C2B">
        <w:rPr>
          <w:color w:val="000000" w:themeColor="text1"/>
          <w:sz w:val="22"/>
          <w:szCs w:val="22"/>
          <w:lang w:val="en-US"/>
        </w:rPr>
        <w:t xml:space="preserve"> 5 U.S. 137 (1803).</w:t>
      </w:r>
    </w:p>
  </w:footnote>
  <w:footnote w:id="44">
    <w:p w14:paraId="793FE50A" w14:textId="77777777" w:rsidR="00E6654D" w:rsidRPr="005C2C2B" w:rsidRDefault="00E6654D" w:rsidP="00C07370">
      <w:pPr>
        <w:pStyle w:val="Textonotapie"/>
        <w:rPr>
          <w:color w:val="000000" w:themeColor="text1"/>
          <w:sz w:val="22"/>
          <w:szCs w:val="22"/>
          <w:lang w:val="en-US"/>
        </w:rPr>
      </w:pPr>
      <w:r w:rsidRPr="005C2C2B">
        <w:rPr>
          <w:rStyle w:val="Refdenotaalpie"/>
          <w:color w:val="000000" w:themeColor="text1"/>
          <w:sz w:val="22"/>
          <w:szCs w:val="22"/>
        </w:rPr>
        <w:footnoteRef/>
      </w:r>
      <w:r w:rsidRPr="005C2C2B">
        <w:rPr>
          <w:color w:val="000000" w:themeColor="text1"/>
          <w:sz w:val="22"/>
          <w:szCs w:val="22"/>
          <w:lang w:val="en-US"/>
        </w:rPr>
        <w:t xml:space="preserve"> </w:t>
      </w:r>
      <w:r w:rsidRPr="005C2C2B">
        <w:rPr>
          <w:i/>
          <w:color w:val="000000" w:themeColor="text1"/>
          <w:sz w:val="22"/>
          <w:szCs w:val="22"/>
          <w:lang w:val="en-US"/>
        </w:rPr>
        <w:t>Vid. Caso Oetjen v. Central Leather Co.</w:t>
      </w:r>
      <w:r w:rsidRPr="005C2C2B">
        <w:rPr>
          <w:color w:val="000000" w:themeColor="text1"/>
          <w:sz w:val="22"/>
          <w:szCs w:val="22"/>
          <w:lang w:val="en-US"/>
        </w:rPr>
        <w:t xml:space="preserve">, 246 U.S. 297 (1918), </w:t>
      </w:r>
      <w:r w:rsidRPr="005C2C2B">
        <w:rPr>
          <w:i/>
          <w:color w:val="000000" w:themeColor="text1"/>
          <w:sz w:val="22"/>
          <w:szCs w:val="22"/>
          <w:lang w:val="en-US"/>
        </w:rPr>
        <w:t>Caso Baker v. Carr</w:t>
      </w:r>
      <w:r w:rsidRPr="005C2C2B">
        <w:rPr>
          <w:color w:val="000000" w:themeColor="text1"/>
          <w:sz w:val="22"/>
          <w:szCs w:val="22"/>
          <w:lang w:val="en-US"/>
        </w:rPr>
        <w:t xml:space="preserve">, 369 U.S. 186 (1962), así como el </w:t>
      </w:r>
      <w:r w:rsidRPr="005C2C2B">
        <w:rPr>
          <w:i/>
          <w:color w:val="000000" w:themeColor="text1"/>
          <w:sz w:val="22"/>
          <w:szCs w:val="22"/>
          <w:lang w:val="en-US"/>
        </w:rPr>
        <w:t>caso Nixon v. United States,</w:t>
      </w:r>
      <w:r w:rsidRPr="005C2C2B">
        <w:rPr>
          <w:color w:val="000000" w:themeColor="text1"/>
          <w:sz w:val="22"/>
          <w:szCs w:val="22"/>
          <w:lang w:val="en-US"/>
        </w:rPr>
        <w:t xml:space="preserve"> 506 U.S. 224 (1993).</w:t>
      </w:r>
    </w:p>
  </w:footnote>
  <w:footnote w:id="45">
    <w:p w14:paraId="2C1F98EF" w14:textId="77777777" w:rsidR="00E6654D" w:rsidRPr="005C2C2B" w:rsidRDefault="00E6654D" w:rsidP="00C07370">
      <w:pPr>
        <w:pStyle w:val="Textonotapie"/>
        <w:rPr>
          <w:i/>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i/>
          <w:color w:val="000000" w:themeColor="text1"/>
          <w:sz w:val="22"/>
          <w:szCs w:val="22"/>
        </w:rPr>
        <w:t>Caso Baker v. Carr</w:t>
      </w:r>
      <w:r w:rsidRPr="005C2C2B">
        <w:rPr>
          <w:color w:val="000000" w:themeColor="text1"/>
          <w:sz w:val="22"/>
          <w:szCs w:val="22"/>
        </w:rPr>
        <w:t>, 369 U.S. 186 (1962), antecedentes del caso</w:t>
      </w:r>
      <w:r w:rsidRPr="005C2C2B">
        <w:rPr>
          <w:i/>
          <w:color w:val="000000" w:themeColor="text1"/>
          <w:sz w:val="22"/>
          <w:szCs w:val="22"/>
        </w:rPr>
        <w:t>.</w:t>
      </w:r>
    </w:p>
  </w:footnote>
  <w:footnote w:id="46">
    <w:p w14:paraId="533ADBC5" w14:textId="546AC655" w:rsidR="00E6654D" w:rsidRPr="005C2C2B" w:rsidRDefault="00E6654D"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i/>
          <w:color w:val="000000" w:themeColor="text1"/>
          <w:sz w:val="22"/>
          <w:szCs w:val="22"/>
        </w:rPr>
        <w:t>Ibid.</w:t>
      </w:r>
      <w:r w:rsidRPr="005C2C2B">
        <w:rPr>
          <w:color w:val="000000" w:themeColor="text1"/>
          <w:sz w:val="22"/>
          <w:szCs w:val="22"/>
        </w:rPr>
        <w:t xml:space="preserve">, Opinión mayoritaria </w:t>
      </w:r>
      <w:r w:rsidR="00C95CE6" w:rsidRPr="005C2C2B">
        <w:rPr>
          <w:color w:val="000000" w:themeColor="text1"/>
          <w:sz w:val="22"/>
          <w:szCs w:val="22"/>
        </w:rPr>
        <w:t>redactada</w:t>
      </w:r>
      <w:r w:rsidRPr="005C2C2B">
        <w:rPr>
          <w:color w:val="000000" w:themeColor="text1"/>
          <w:sz w:val="22"/>
          <w:szCs w:val="22"/>
        </w:rPr>
        <w:t xml:space="preserve"> por el </w:t>
      </w:r>
      <w:r w:rsidRPr="005C2C2B">
        <w:rPr>
          <w:i/>
          <w:color w:val="000000" w:themeColor="text1"/>
          <w:sz w:val="22"/>
          <w:szCs w:val="22"/>
        </w:rPr>
        <w:t>Justice Brennan.</w:t>
      </w:r>
    </w:p>
  </w:footnote>
  <w:footnote w:id="47">
    <w:p w14:paraId="140DF155" w14:textId="77777777" w:rsidR="00E6654D" w:rsidRPr="005C2C2B" w:rsidRDefault="00E6654D" w:rsidP="00C07370">
      <w:pPr>
        <w:pStyle w:val="Textonotapie"/>
        <w:rPr>
          <w:color w:val="000000" w:themeColor="text1"/>
          <w:sz w:val="22"/>
          <w:szCs w:val="22"/>
          <w:lang w:val="en-US"/>
        </w:rPr>
      </w:pPr>
      <w:r w:rsidRPr="005C2C2B">
        <w:rPr>
          <w:rStyle w:val="Refdenotaalpie"/>
          <w:color w:val="000000" w:themeColor="text1"/>
          <w:sz w:val="22"/>
          <w:szCs w:val="22"/>
        </w:rPr>
        <w:footnoteRef/>
      </w:r>
      <w:r w:rsidRPr="005C2C2B">
        <w:rPr>
          <w:color w:val="000000" w:themeColor="text1"/>
          <w:sz w:val="22"/>
          <w:szCs w:val="22"/>
          <w:lang w:val="en-US"/>
        </w:rPr>
        <w:t xml:space="preserve"> </w:t>
      </w:r>
      <w:r w:rsidRPr="005C2C2B">
        <w:rPr>
          <w:i/>
          <w:color w:val="000000" w:themeColor="text1"/>
          <w:sz w:val="22"/>
          <w:szCs w:val="22"/>
          <w:lang w:val="en-US"/>
        </w:rPr>
        <w:t>Idem.</w:t>
      </w:r>
    </w:p>
  </w:footnote>
  <w:footnote w:id="48">
    <w:p w14:paraId="493629C7" w14:textId="556EC76F" w:rsidR="000207C1" w:rsidRPr="005C2C2B" w:rsidRDefault="000207C1" w:rsidP="00C07370">
      <w:pPr>
        <w:pStyle w:val="Textonotapie"/>
        <w:rPr>
          <w:color w:val="000000" w:themeColor="text1"/>
          <w:sz w:val="22"/>
          <w:szCs w:val="22"/>
          <w:lang w:val="en-US"/>
        </w:rPr>
      </w:pPr>
      <w:r w:rsidRPr="005C2C2B">
        <w:rPr>
          <w:rStyle w:val="Refdenotaalpie"/>
          <w:color w:val="000000" w:themeColor="text1"/>
          <w:sz w:val="22"/>
          <w:szCs w:val="22"/>
        </w:rPr>
        <w:footnoteRef/>
      </w:r>
      <w:r w:rsidRPr="005C2C2B">
        <w:rPr>
          <w:color w:val="000000" w:themeColor="text1"/>
          <w:sz w:val="22"/>
          <w:szCs w:val="22"/>
          <w:lang w:val="en-US"/>
        </w:rPr>
        <w:t xml:space="preserve"> </w:t>
      </w:r>
      <w:r w:rsidRPr="005C2C2B">
        <w:rPr>
          <w:rFonts w:eastAsia="Times New Roman"/>
          <w:i/>
          <w:iCs/>
          <w:color w:val="000000" w:themeColor="text1"/>
          <w:sz w:val="22"/>
          <w:szCs w:val="22"/>
          <w:lang w:val="en-US" w:eastAsia="es-ES"/>
        </w:rPr>
        <w:t>Caso Powell v. McCormack</w:t>
      </w:r>
      <w:r w:rsidRPr="005C2C2B">
        <w:rPr>
          <w:rFonts w:eastAsia="Times New Roman"/>
          <w:color w:val="000000" w:themeColor="text1"/>
          <w:sz w:val="22"/>
          <w:szCs w:val="22"/>
          <w:lang w:val="en-US" w:eastAsia="es-ES"/>
        </w:rPr>
        <w:t>, 395 U.S. 486 (1969).</w:t>
      </w:r>
    </w:p>
  </w:footnote>
  <w:footnote w:id="49">
    <w:p w14:paraId="105B5408" w14:textId="6ED2A278" w:rsidR="002F2A3E" w:rsidRPr="005C2C2B" w:rsidRDefault="002F2A3E" w:rsidP="00C07370">
      <w:pPr>
        <w:pStyle w:val="Textonotapie"/>
        <w:rPr>
          <w:i/>
          <w:iCs/>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color w:val="000000" w:themeColor="text1"/>
          <w:sz w:val="22"/>
          <w:szCs w:val="22"/>
          <w:lang w:val="es-ES"/>
        </w:rPr>
        <w:t xml:space="preserve">Para un estudio del caso, </w:t>
      </w:r>
      <w:r w:rsidRPr="005C2C2B">
        <w:rPr>
          <w:i/>
          <w:iCs/>
          <w:color w:val="000000" w:themeColor="text1"/>
          <w:sz w:val="22"/>
          <w:szCs w:val="22"/>
          <w:lang w:val="es-ES"/>
        </w:rPr>
        <w:t xml:space="preserve">vid. </w:t>
      </w:r>
      <w:r w:rsidRPr="005C2C2B">
        <w:rPr>
          <w:color w:val="000000" w:themeColor="text1"/>
          <w:sz w:val="22"/>
          <w:szCs w:val="22"/>
          <w:lang w:val="es-ES"/>
        </w:rPr>
        <w:t xml:space="preserve">NAVA Gomar, Luis Felipe, </w:t>
      </w:r>
      <w:r w:rsidRPr="005C2C2B">
        <w:rPr>
          <w:i/>
          <w:iCs/>
          <w:color w:val="000000" w:themeColor="text1"/>
          <w:sz w:val="22"/>
          <w:szCs w:val="22"/>
          <w:lang w:val="es-ES"/>
        </w:rPr>
        <w:t xml:space="preserve">Parlamento democrático y justicia constitucional, </w:t>
      </w:r>
      <w:r w:rsidRPr="005C2C2B">
        <w:rPr>
          <w:color w:val="000000" w:themeColor="text1"/>
          <w:sz w:val="22"/>
          <w:szCs w:val="22"/>
          <w:lang w:val="es-ES"/>
        </w:rPr>
        <w:t xml:space="preserve">México, Tirant lo Blanch, </w:t>
      </w:r>
      <w:r w:rsidR="00E81F99" w:rsidRPr="005C2C2B">
        <w:rPr>
          <w:color w:val="000000" w:themeColor="text1"/>
          <w:sz w:val="22"/>
          <w:szCs w:val="22"/>
          <w:lang w:val="es-ES"/>
        </w:rPr>
        <w:t xml:space="preserve">2018, </w:t>
      </w:r>
      <w:r w:rsidRPr="005C2C2B">
        <w:rPr>
          <w:color w:val="000000" w:themeColor="text1"/>
          <w:sz w:val="22"/>
          <w:szCs w:val="22"/>
          <w:lang w:val="es-ES"/>
        </w:rPr>
        <w:t>pp. 211 a 221.</w:t>
      </w:r>
    </w:p>
  </w:footnote>
  <w:footnote w:id="50">
    <w:p w14:paraId="6E6C5705" w14:textId="59CCCA60" w:rsidR="001831BA" w:rsidRPr="005C2C2B" w:rsidRDefault="001831BA" w:rsidP="00C07370">
      <w:pPr>
        <w:pStyle w:val="Textonotapie"/>
        <w:rPr>
          <w:color w:val="000000" w:themeColor="text1"/>
          <w:sz w:val="22"/>
          <w:szCs w:val="22"/>
          <w:lang w:val="en-US"/>
        </w:rPr>
      </w:pPr>
      <w:r w:rsidRPr="005C2C2B">
        <w:rPr>
          <w:rStyle w:val="Refdenotaalpie"/>
          <w:color w:val="000000" w:themeColor="text1"/>
          <w:sz w:val="22"/>
          <w:szCs w:val="22"/>
        </w:rPr>
        <w:footnoteRef/>
      </w:r>
      <w:r w:rsidRPr="005C2C2B">
        <w:rPr>
          <w:color w:val="000000" w:themeColor="text1"/>
          <w:sz w:val="22"/>
          <w:szCs w:val="22"/>
          <w:lang w:val="en-US"/>
        </w:rPr>
        <w:t xml:space="preserve"> </w:t>
      </w:r>
      <w:r w:rsidRPr="005C2C2B">
        <w:rPr>
          <w:i/>
          <w:color w:val="000000" w:themeColor="text1"/>
          <w:sz w:val="22"/>
          <w:szCs w:val="22"/>
          <w:lang w:val="en-US"/>
        </w:rPr>
        <w:t>Nixon v. United States,</w:t>
      </w:r>
      <w:r w:rsidRPr="005C2C2B">
        <w:rPr>
          <w:color w:val="000000" w:themeColor="text1"/>
          <w:sz w:val="22"/>
          <w:szCs w:val="22"/>
          <w:lang w:val="en-US"/>
        </w:rPr>
        <w:t xml:space="preserve"> 506 U.S. 224 (1993).</w:t>
      </w:r>
    </w:p>
  </w:footnote>
  <w:footnote w:id="51">
    <w:p w14:paraId="2FE56913" w14:textId="28DBDBAB" w:rsidR="0005087E" w:rsidRPr="005C2C2B" w:rsidRDefault="0005087E" w:rsidP="00C07370">
      <w:pPr>
        <w:pStyle w:val="Textonotapie"/>
        <w:rPr>
          <w:color w:val="000000" w:themeColor="text1"/>
          <w:sz w:val="22"/>
          <w:szCs w:val="22"/>
          <w:lang w:val="en-US"/>
        </w:rPr>
      </w:pPr>
      <w:r w:rsidRPr="005C2C2B">
        <w:rPr>
          <w:rStyle w:val="Refdenotaalpie"/>
          <w:color w:val="000000" w:themeColor="text1"/>
          <w:sz w:val="22"/>
          <w:szCs w:val="22"/>
        </w:rPr>
        <w:footnoteRef/>
      </w:r>
      <w:r w:rsidRPr="005C2C2B">
        <w:rPr>
          <w:color w:val="000000" w:themeColor="text1"/>
          <w:sz w:val="22"/>
          <w:szCs w:val="22"/>
          <w:lang w:val="en-US"/>
        </w:rPr>
        <w:t xml:space="preserve"> </w:t>
      </w:r>
      <w:r w:rsidRPr="005C2C2B">
        <w:rPr>
          <w:i/>
          <w:iCs/>
          <w:color w:val="000000" w:themeColor="text1"/>
          <w:sz w:val="22"/>
          <w:szCs w:val="22"/>
          <w:lang w:val="en-US"/>
        </w:rPr>
        <w:t>Caso Marbury v. Madison</w:t>
      </w:r>
      <w:r w:rsidRPr="005C2C2B">
        <w:rPr>
          <w:color w:val="000000" w:themeColor="text1"/>
          <w:sz w:val="22"/>
          <w:szCs w:val="22"/>
          <w:lang w:val="en-US"/>
        </w:rPr>
        <w:t xml:space="preserve"> 5 U.S. 137 (1803).</w:t>
      </w:r>
    </w:p>
  </w:footnote>
  <w:footnote w:id="52">
    <w:p w14:paraId="561AA688" w14:textId="2FBDCC8B" w:rsidR="00D4331E" w:rsidRPr="005C2C2B" w:rsidRDefault="00D4331E" w:rsidP="00C07370">
      <w:pPr>
        <w:pStyle w:val="Textonotapie"/>
        <w:rPr>
          <w:i/>
          <w:iCs/>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color w:val="000000" w:themeColor="text1"/>
          <w:sz w:val="22"/>
          <w:szCs w:val="22"/>
          <w:lang w:val="es-ES"/>
        </w:rPr>
        <w:t xml:space="preserve">NAVA Gomar, Luis Felipe, </w:t>
      </w:r>
      <w:r w:rsidRPr="005C2C2B">
        <w:rPr>
          <w:i/>
          <w:iCs/>
          <w:color w:val="000000" w:themeColor="text1"/>
          <w:sz w:val="22"/>
          <w:szCs w:val="22"/>
          <w:lang w:val="es-ES"/>
        </w:rPr>
        <w:t xml:space="preserve">op. cit., </w:t>
      </w:r>
      <w:r w:rsidRPr="005C2C2B">
        <w:rPr>
          <w:color w:val="000000" w:themeColor="text1"/>
          <w:sz w:val="22"/>
          <w:szCs w:val="22"/>
          <w:lang w:val="es-ES"/>
        </w:rPr>
        <w:t>p</w:t>
      </w:r>
      <w:r w:rsidR="00632E08" w:rsidRPr="005C2C2B">
        <w:rPr>
          <w:color w:val="000000" w:themeColor="text1"/>
          <w:sz w:val="22"/>
          <w:szCs w:val="22"/>
          <w:lang w:val="es-ES"/>
        </w:rPr>
        <w:t>. 218</w:t>
      </w:r>
      <w:r w:rsidRPr="005C2C2B">
        <w:rPr>
          <w:color w:val="000000" w:themeColor="text1"/>
          <w:sz w:val="22"/>
          <w:szCs w:val="22"/>
          <w:lang w:val="es-ES"/>
        </w:rPr>
        <w:t>.</w:t>
      </w:r>
    </w:p>
  </w:footnote>
  <w:footnote w:id="53">
    <w:p w14:paraId="61F5F8DB" w14:textId="575804BB" w:rsidR="00744280" w:rsidRPr="005C2C2B" w:rsidRDefault="00744280"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9575D1" w:rsidRPr="005C2C2B">
        <w:rPr>
          <w:i/>
          <w:iCs/>
          <w:color w:val="000000" w:themeColor="text1"/>
          <w:sz w:val="22"/>
          <w:szCs w:val="22"/>
        </w:rPr>
        <w:t>Vid</w:t>
      </w:r>
      <w:r w:rsidR="009575D1" w:rsidRPr="005C2C2B">
        <w:rPr>
          <w:color w:val="000000" w:themeColor="text1"/>
          <w:sz w:val="22"/>
          <w:szCs w:val="22"/>
        </w:rPr>
        <w:t xml:space="preserve">. </w:t>
      </w:r>
      <w:r w:rsidR="00BC6741" w:rsidRPr="005C2C2B">
        <w:rPr>
          <w:color w:val="000000" w:themeColor="text1"/>
          <w:sz w:val="22"/>
          <w:szCs w:val="22"/>
        </w:rPr>
        <w:t xml:space="preserve">BIGLINO Campos, Paloma, “Las facultades de los parlamentarios ¿Son derechos fundamentales?”, </w:t>
      </w:r>
      <w:r w:rsidR="00BC6741" w:rsidRPr="005C2C2B">
        <w:rPr>
          <w:i/>
          <w:iCs/>
          <w:color w:val="000000" w:themeColor="text1"/>
          <w:sz w:val="22"/>
          <w:szCs w:val="22"/>
        </w:rPr>
        <w:t>Revista General de las Cortes</w:t>
      </w:r>
      <w:r w:rsidR="00BC6741" w:rsidRPr="005C2C2B">
        <w:rPr>
          <w:color w:val="000000" w:themeColor="text1"/>
          <w:sz w:val="22"/>
          <w:szCs w:val="22"/>
        </w:rPr>
        <w:t>, número 30, España, diciembre de 1993, p. 58</w:t>
      </w:r>
      <w:r w:rsidR="004D733F" w:rsidRPr="005C2C2B">
        <w:rPr>
          <w:color w:val="000000" w:themeColor="text1"/>
          <w:sz w:val="22"/>
          <w:szCs w:val="22"/>
        </w:rPr>
        <w:t xml:space="preserve">; DÍEZ-PICAZO,  Luis María, </w:t>
      </w:r>
      <w:r w:rsidR="004D733F" w:rsidRPr="005C2C2B">
        <w:rPr>
          <w:i/>
          <w:iCs/>
          <w:color w:val="000000" w:themeColor="text1"/>
          <w:sz w:val="22"/>
          <w:szCs w:val="22"/>
        </w:rPr>
        <w:t xml:space="preserve">Sistema de derechos </w:t>
      </w:r>
      <w:r w:rsidR="004D733F" w:rsidRPr="005C2C2B">
        <w:rPr>
          <w:color w:val="000000" w:themeColor="text1"/>
          <w:sz w:val="22"/>
          <w:szCs w:val="22"/>
        </w:rPr>
        <w:t>fundamentales,</w:t>
      </w:r>
      <w:r w:rsidR="0011250D" w:rsidRPr="005C2C2B">
        <w:rPr>
          <w:color w:val="000000" w:themeColor="text1"/>
          <w:sz w:val="22"/>
          <w:szCs w:val="22"/>
        </w:rPr>
        <w:t xml:space="preserve"> 3ª ed.,</w:t>
      </w:r>
      <w:r w:rsidR="004D733F" w:rsidRPr="005C2C2B">
        <w:rPr>
          <w:color w:val="000000" w:themeColor="text1"/>
          <w:sz w:val="22"/>
          <w:szCs w:val="22"/>
        </w:rPr>
        <w:t xml:space="preserve"> Madrid, Thomson-Civitas, </w:t>
      </w:r>
      <w:r w:rsidR="0011250D" w:rsidRPr="005C2C2B">
        <w:rPr>
          <w:color w:val="000000" w:themeColor="text1"/>
          <w:sz w:val="22"/>
          <w:szCs w:val="22"/>
        </w:rPr>
        <w:t xml:space="preserve">2008, </w:t>
      </w:r>
      <w:r w:rsidR="004D733F" w:rsidRPr="005C2C2B">
        <w:rPr>
          <w:color w:val="000000" w:themeColor="text1"/>
          <w:sz w:val="22"/>
          <w:szCs w:val="22"/>
        </w:rPr>
        <w:t xml:space="preserve">pp. 413 y 414; </w:t>
      </w:r>
      <w:r w:rsidR="00BC6741" w:rsidRPr="005C2C2B">
        <w:rPr>
          <w:color w:val="000000" w:themeColor="text1"/>
          <w:sz w:val="22"/>
          <w:szCs w:val="22"/>
        </w:rPr>
        <w:t xml:space="preserve">y </w:t>
      </w:r>
      <w:r w:rsidR="00BC6741" w:rsidRPr="005C2C2B">
        <w:rPr>
          <w:color w:val="000000" w:themeColor="text1"/>
          <w:sz w:val="22"/>
          <w:szCs w:val="22"/>
          <w:lang w:val="es-ES"/>
        </w:rPr>
        <w:t xml:space="preserve">NAVA Gomar, Luis Felipe, </w:t>
      </w:r>
      <w:r w:rsidR="00BC6741" w:rsidRPr="005C2C2B">
        <w:rPr>
          <w:i/>
          <w:iCs/>
          <w:color w:val="000000" w:themeColor="text1"/>
          <w:sz w:val="22"/>
          <w:szCs w:val="22"/>
          <w:lang w:val="es-ES"/>
        </w:rPr>
        <w:t xml:space="preserve">op. cit., </w:t>
      </w:r>
      <w:r w:rsidR="00BC6741" w:rsidRPr="005C2C2B">
        <w:rPr>
          <w:color w:val="000000" w:themeColor="text1"/>
          <w:sz w:val="22"/>
          <w:szCs w:val="22"/>
          <w:lang w:val="es-ES"/>
        </w:rPr>
        <w:t>p</w:t>
      </w:r>
      <w:r w:rsidRPr="005C2C2B">
        <w:rPr>
          <w:color w:val="000000" w:themeColor="text1"/>
          <w:sz w:val="22"/>
          <w:szCs w:val="22"/>
          <w:lang w:val="es-ES"/>
        </w:rPr>
        <w:t>p. 221 y 222.</w:t>
      </w:r>
    </w:p>
  </w:footnote>
  <w:footnote w:id="54">
    <w:p w14:paraId="0AB708FC" w14:textId="38CE2668" w:rsidR="00915B24" w:rsidRPr="005C2C2B" w:rsidRDefault="00915B24"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color w:val="000000" w:themeColor="text1"/>
          <w:sz w:val="22"/>
          <w:szCs w:val="22"/>
          <w:lang w:val="es-ES"/>
        </w:rPr>
        <w:t>ATC 183/1984, de 21 de marzo de 1984.</w:t>
      </w:r>
    </w:p>
  </w:footnote>
  <w:footnote w:id="55">
    <w:p w14:paraId="26476417" w14:textId="5FBE4E93" w:rsidR="00C12BC3" w:rsidRPr="005C2C2B" w:rsidRDefault="00C12BC3" w:rsidP="00C07370">
      <w:pPr>
        <w:pStyle w:val="Textonotapie"/>
        <w:rPr>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w:t>
      </w:r>
      <w:r w:rsidR="00B9614B" w:rsidRPr="005C2C2B">
        <w:rPr>
          <w:color w:val="000000" w:themeColor="text1"/>
          <w:sz w:val="22"/>
          <w:szCs w:val="22"/>
          <w:lang w:val="es-ES"/>
        </w:rPr>
        <w:t>ATC 12/1986, de 15 de Enero de 1986.</w:t>
      </w:r>
    </w:p>
  </w:footnote>
  <w:footnote w:id="56">
    <w:p w14:paraId="58ED2E41" w14:textId="6C604A48" w:rsidR="00B9614B" w:rsidRPr="005C2C2B" w:rsidRDefault="00B9614B" w:rsidP="00C07370">
      <w:pPr>
        <w:pStyle w:val="Textonotapie"/>
        <w:rPr>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w:t>
      </w:r>
      <w:r w:rsidRPr="005C2C2B">
        <w:rPr>
          <w:color w:val="000000" w:themeColor="text1"/>
          <w:sz w:val="22"/>
          <w:szCs w:val="22"/>
          <w:lang w:val="es-ES"/>
        </w:rPr>
        <w:t>STC 161/19</w:t>
      </w:r>
      <w:r w:rsidR="00F96AFC" w:rsidRPr="005C2C2B">
        <w:rPr>
          <w:color w:val="000000" w:themeColor="text1"/>
          <w:sz w:val="22"/>
          <w:szCs w:val="22"/>
          <w:lang w:val="es-ES"/>
        </w:rPr>
        <w:t>8</w:t>
      </w:r>
      <w:r w:rsidRPr="005C2C2B">
        <w:rPr>
          <w:color w:val="000000" w:themeColor="text1"/>
          <w:sz w:val="22"/>
          <w:szCs w:val="22"/>
          <w:lang w:val="es-ES"/>
        </w:rPr>
        <w:t xml:space="preserve">8, </w:t>
      </w:r>
      <w:r w:rsidR="003F30E4" w:rsidRPr="005C2C2B">
        <w:rPr>
          <w:color w:val="000000" w:themeColor="text1"/>
          <w:sz w:val="22"/>
          <w:szCs w:val="22"/>
          <w:lang w:val="es-ES"/>
        </w:rPr>
        <w:t>de 20 de septiembre de 19</w:t>
      </w:r>
      <w:r w:rsidR="00F96AFC" w:rsidRPr="005C2C2B">
        <w:rPr>
          <w:color w:val="000000" w:themeColor="text1"/>
          <w:sz w:val="22"/>
          <w:szCs w:val="22"/>
          <w:lang w:val="es-ES"/>
        </w:rPr>
        <w:t>8</w:t>
      </w:r>
      <w:r w:rsidR="003F30E4" w:rsidRPr="005C2C2B">
        <w:rPr>
          <w:color w:val="000000" w:themeColor="text1"/>
          <w:sz w:val="22"/>
          <w:szCs w:val="22"/>
          <w:lang w:val="es-ES"/>
        </w:rPr>
        <w:t>8</w:t>
      </w:r>
      <w:r w:rsidRPr="005C2C2B">
        <w:rPr>
          <w:color w:val="000000" w:themeColor="text1"/>
          <w:sz w:val="22"/>
          <w:szCs w:val="22"/>
          <w:lang w:val="es-ES"/>
        </w:rPr>
        <w:t>.</w:t>
      </w:r>
    </w:p>
  </w:footnote>
  <w:footnote w:id="57">
    <w:p w14:paraId="6B8A2B4D" w14:textId="0480049A" w:rsidR="00EA2D23" w:rsidRPr="005C2C2B" w:rsidRDefault="00EA2D23" w:rsidP="00C07370">
      <w:pPr>
        <w:pStyle w:val="Textonotapie"/>
        <w:rPr>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w:t>
      </w:r>
      <w:r w:rsidR="00F05966" w:rsidRPr="005C2C2B">
        <w:rPr>
          <w:color w:val="000000" w:themeColor="text1"/>
          <w:sz w:val="22"/>
          <w:szCs w:val="22"/>
        </w:rPr>
        <w:t>STC 23/1990</w:t>
      </w:r>
      <w:r w:rsidR="00280744" w:rsidRPr="005C2C2B">
        <w:rPr>
          <w:color w:val="000000" w:themeColor="text1"/>
          <w:sz w:val="22"/>
          <w:szCs w:val="22"/>
        </w:rPr>
        <w:t>, de 15 de febrero de 1990.</w:t>
      </w:r>
    </w:p>
  </w:footnote>
  <w:footnote w:id="58">
    <w:p w14:paraId="79839512" w14:textId="479EE4EE" w:rsidR="00EA2D23" w:rsidRPr="005C2C2B" w:rsidRDefault="00EA2D23" w:rsidP="00C07370">
      <w:pPr>
        <w:pStyle w:val="Textonotapie"/>
        <w:rPr>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w:t>
      </w:r>
      <w:r w:rsidR="00F05966" w:rsidRPr="005C2C2B">
        <w:rPr>
          <w:color w:val="000000" w:themeColor="text1"/>
          <w:sz w:val="22"/>
          <w:szCs w:val="22"/>
        </w:rPr>
        <w:t>STC 205/1990</w:t>
      </w:r>
      <w:r w:rsidR="00280744" w:rsidRPr="005C2C2B">
        <w:rPr>
          <w:color w:val="000000" w:themeColor="text1"/>
          <w:sz w:val="22"/>
          <w:szCs w:val="22"/>
        </w:rPr>
        <w:t>, de 13 de diciembre de 1990.</w:t>
      </w:r>
    </w:p>
  </w:footnote>
  <w:footnote w:id="59">
    <w:p w14:paraId="63DB8316" w14:textId="41922AC3" w:rsidR="00EA2D23" w:rsidRPr="005C2C2B" w:rsidRDefault="00EA2D23" w:rsidP="00C07370">
      <w:pPr>
        <w:pStyle w:val="Textonotapie"/>
        <w:rPr>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w:t>
      </w:r>
      <w:r w:rsidR="00F05966" w:rsidRPr="005C2C2B">
        <w:rPr>
          <w:color w:val="000000" w:themeColor="text1"/>
          <w:sz w:val="22"/>
          <w:szCs w:val="22"/>
        </w:rPr>
        <w:t>STC 214/1990</w:t>
      </w:r>
      <w:r w:rsidR="00280744" w:rsidRPr="005C2C2B">
        <w:rPr>
          <w:color w:val="000000" w:themeColor="text1"/>
          <w:sz w:val="22"/>
          <w:szCs w:val="22"/>
        </w:rPr>
        <w:t>, de 20 de diciembre de 1990.</w:t>
      </w:r>
    </w:p>
  </w:footnote>
  <w:footnote w:id="60">
    <w:p w14:paraId="6DDB8BFB" w14:textId="6ED0AEFD" w:rsidR="00EA2D23" w:rsidRPr="005C2C2B" w:rsidRDefault="00EA2D23" w:rsidP="00C07370">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w:t>
      </w:r>
      <w:r w:rsidR="00F05966" w:rsidRPr="005C2C2B">
        <w:rPr>
          <w:color w:val="000000" w:themeColor="text1"/>
          <w:sz w:val="22"/>
          <w:szCs w:val="22"/>
        </w:rPr>
        <w:t>STC 76/1989</w:t>
      </w:r>
      <w:r w:rsidR="00E112D3" w:rsidRPr="005C2C2B">
        <w:rPr>
          <w:color w:val="000000" w:themeColor="text1"/>
          <w:sz w:val="22"/>
          <w:szCs w:val="22"/>
        </w:rPr>
        <w:t>, de 27 de abril de 1989.</w:t>
      </w:r>
    </w:p>
  </w:footnote>
  <w:footnote w:id="61">
    <w:p w14:paraId="33E17E60" w14:textId="4CD38CCA" w:rsidR="00EA2D23" w:rsidRPr="005C2C2B" w:rsidRDefault="00EA2D23" w:rsidP="00C07370">
      <w:pPr>
        <w:pStyle w:val="Textonotapie"/>
        <w:rPr>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w:t>
      </w:r>
      <w:r w:rsidR="00F05966" w:rsidRPr="005C2C2B">
        <w:rPr>
          <w:color w:val="000000" w:themeColor="text1"/>
          <w:sz w:val="22"/>
          <w:szCs w:val="22"/>
        </w:rPr>
        <w:t>STC 214/1990</w:t>
      </w:r>
      <w:r w:rsidR="007A6F50" w:rsidRPr="005C2C2B">
        <w:rPr>
          <w:color w:val="000000" w:themeColor="text1"/>
          <w:sz w:val="22"/>
          <w:szCs w:val="22"/>
        </w:rPr>
        <w:t>,</w:t>
      </w:r>
      <w:r w:rsidR="007A6F50" w:rsidRPr="005C2C2B">
        <w:rPr>
          <w:sz w:val="22"/>
          <w:szCs w:val="22"/>
        </w:rPr>
        <w:t xml:space="preserve"> </w:t>
      </w:r>
      <w:r w:rsidR="007A6F50" w:rsidRPr="005C2C2B">
        <w:rPr>
          <w:color w:val="000000" w:themeColor="text1"/>
          <w:sz w:val="22"/>
          <w:szCs w:val="22"/>
        </w:rPr>
        <w:t>de 20 de diciembre de 1990</w:t>
      </w:r>
    </w:p>
  </w:footnote>
  <w:footnote w:id="62">
    <w:p w14:paraId="7A9F701A" w14:textId="473B5EC7" w:rsidR="00EA2D23" w:rsidRPr="005C2C2B" w:rsidRDefault="00EA2D23" w:rsidP="00C07370">
      <w:pPr>
        <w:pStyle w:val="Textonotapie"/>
        <w:rPr>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w:t>
      </w:r>
      <w:r w:rsidR="00F05966" w:rsidRPr="005C2C2B">
        <w:rPr>
          <w:color w:val="000000" w:themeColor="text1"/>
          <w:sz w:val="22"/>
          <w:szCs w:val="22"/>
        </w:rPr>
        <w:t xml:space="preserve">STC 161/1988, </w:t>
      </w:r>
      <w:r w:rsidR="00F05966" w:rsidRPr="005C2C2B">
        <w:rPr>
          <w:color w:val="000000" w:themeColor="text1"/>
          <w:sz w:val="22"/>
          <w:szCs w:val="22"/>
          <w:lang w:val="es-ES"/>
        </w:rPr>
        <w:t>de 20 de septiembre de 1988.</w:t>
      </w:r>
    </w:p>
  </w:footnote>
  <w:footnote w:id="63">
    <w:p w14:paraId="79139B14" w14:textId="66BEDF37" w:rsidR="00447BC2" w:rsidRPr="005C2C2B" w:rsidRDefault="00447BC2" w:rsidP="00C07370">
      <w:pPr>
        <w:pStyle w:val="Textonotapie"/>
        <w:rPr>
          <w:sz w:val="22"/>
          <w:szCs w:val="22"/>
          <w:lang w:val="es-ES"/>
        </w:rPr>
      </w:pPr>
      <w:r w:rsidRPr="005C2C2B">
        <w:rPr>
          <w:rStyle w:val="Refdenotaalpie"/>
          <w:sz w:val="22"/>
          <w:szCs w:val="22"/>
        </w:rPr>
        <w:footnoteRef/>
      </w:r>
      <w:r w:rsidRPr="005C2C2B">
        <w:rPr>
          <w:sz w:val="22"/>
          <w:szCs w:val="22"/>
        </w:rPr>
        <w:t xml:space="preserve"> </w:t>
      </w:r>
      <w:r w:rsidRPr="005C2C2B">
        <w:rPr>
          <w:sz w:val="22"/>
          <w:szCs w:val="22"/>
          <w:lang w:val="es-ES"/>
        </w:rPr>
        <w:t>STC 220/1991, de 25 de noviembre de 1991.</w:t>
      </w:r>
    </w:p>
  </w:footnote>
  <w:footnote w:id="64">
    <w:p w14:paraId="7D603E5A" w14:textId="52F6EAED" w:rsidR="00EE2C2E" w:rsidRPr="005C2C2B" w:rsidRDefault="00EE2C2E" w:rsidP="00C07370">
      <w:pPr>
        <w:pStyle w:val="Textonotapie"/>
        <w:rPr>
          <w:sz w:val="22"/>
          <w:szCs w:val="22"/>
          <w:lang w:val="es-ES"/>
        </w:rPr>
      </w:pPr>
      <w:r w:rsidRPr="005C2C2B">
        <w:rPr>
          <w:rStyle w:val="Refdenotaalpie"/>
          <w:sz w:val="22"/>
          <w:szCs w:val="22"/>
        </w:rPr>
        <w:footnoteRef/>
      </w:r>
      <w:r w:rsidRPr="005C2C2B">
        <w:rPr>
          <w:sz w:val="22"/>
          <w:szCs w:val="22"/>
        </w:rPr>
        <w:t xml:space="preserve"> </w:t>
      </w:r>
      <w:r w:rsidRPr="005C2C2B">
        <w:rPr>
          <w:sz w:val="22"/>
          <w:szCs w:val="22"/>
          <w:lang w:val="es-ES"/>
        </w:rPr>
        <w:t xml:space="preserve">NAVA Gomar, Luis Felipe, </w:t>
      </w:r>
      <w:r w:rsidRPr="005C2C2B">
        <w:rPr>
          <w:i/>
          <w:iCs/>
          <w:sz w:val="22"/>
          <w:szCs w:val="22"/>
          <w:lang w:val="es-ES"/>
        </w:rPr>
        <w:t xml:space="preserve">op. cit., </w:t>
      </w:r>
      <w:r w:rsidRPr="005C2C2B">
        <w:rPr>
          <w:sz w:val="22"/>
          <w:szCs w:val="22"/>
          <w:lang w:val="es-ES"/>
        </w:rPr>
        <w:t>p. 233.</w:t>
      </w:r>
    </w:p>
  </w:footnote>
  <w:footnote w:id="65">
    <w:p w14:paraId="6F8648A8" w14:textId="3DE83280" w:rsidR="004719AC" w:rsidRPr="005C2C2B" w:rsidRDefault="004719AC" w:rsidP="00C07370">
      <w:pPr>
        <w:pStyle w:val="Textonotapie"/>
        <w:rPr>
          <w:sz w:val="22"/>
          <w:szCs w:val="22"/>
          <w:lang w:val="es-ES"/>
        </w:rPr>
      </w:pPr>
      <w:r w:rsidRPr="005C2C2B">
        <w:rPr>
          <w:rStyle w:val="Refdenotaalpie"/>
          <w:sz w:val="22"/>
          <w:szCs w:val="22"/>
        </w:rPr>
        <w:footnoteRef/>
      </w:r>
      <w:r w:rsidRPr="005C2C2B">
        <w:rPr>
          <w:sz w:val="22"/>
          <w:szCs w:val="22"/>
        </w:rPr>
        <w:t xml:space="preserve"> </w:t>
      </w:r>
      <w:r w:rsidRPr="005C2C2B">
        <w:rPr>
          <w:sz w:val="22"/>
          <w:szCs w:val="22"/>
          <w:lang w:val="es-ES"/>
        </w:rPr>
        <w:t>Sentencia de la Corte Constitucional de Colombia T-983A/04, de 8 de octubre de 2004.</w:t>
      </w:r>
    </w:p>
  </w:footnote>
  <w:footnote w:id="66">
    <w:p w14:paraId="19514CC0" w14:textId="2BE026DE" w:rsidR="00176FBC" w:rsidRPr="005C2C2B" w:rsidRDefault="00176FBC" w:rsidP="00C07370">
      <w:pPr>
        <w:pStyle w:val="Textonotapie"/>
        <w:rPr>
          <w:sz w:val="22"/>
          <w:szCs w:val="22"/>
          <w:lang w:val="es-ES"/>
        </w:rPr>
      </w:pPr>
      <w:r w:rsidRPr="005C2C2B">
        <w:rPr>
          <w:rStyle w:val="Refdenotaalpie"/>
          <w:sz w:val="22"/>
          <w:szCs w:val="22"/>
        </w:rPr>
        <w:footnoteRef/>
      </w:r>
      <w:r w:rsidRPr="005C2C2B">
        <w:rPr>
          <w:sz w:val="22"/>
          <w:szCs w:val="22"/>
        </w:rPr>
        <w:t xml:space="preserve"> </w:t>
      </w:r>
      <w:r w:rsidRPr="005C2C2B">
        <w:rPr>
          <w:sz w:val="22"/>
          <w:szCs w:val="22"/>
          <w:lang w:val="es-ES"/>
        </w:rPr>
        <w:t xml:space="preserve">Controversia constitucional 140/2006, resuelta por la </w:t>
      </w:r>
      <w:r w:rsidR="0033223E">
        <w:rPr>
          <w:sz w:val="22"/>
          <w:szCs w:val="22"/>
          <w:lang w:val="es-ES"/>
        </w:rPr>
        <w:t>Primera</w:t>
      </w:r>
      <w:r w:rsidRPr="005C2C2B">
        <w:rPr>
          <w:sz w:val="22"/>
          <w:szCs w:val="22"/>
          <w:lang w:val="es-ES"/>
        </w:rPr>
        <w:t xml:space="preserve"> Sala el 15 de agosto de 2007, por </w:t>
      </w:r>
      <w:r w:rsidR="00392591" w:rsidRPr="005C2C2B">
        <w:rPr>
          <w:sz w:val="22"/>
          <w:szCs w:val="22"/>
          <w:lang w:val="es-ES"/>
        </w:rPr>
        <w:t>unanimidad de 5 votos de los Ministros José de Jesús Gudiño Pelayo, Sergio A. Valls Hernández (Ponente), Juan N. Silva Meza, Olga Sánchez Cordero de García Villegas y Presidente José Ramón Cossío Díaz.</w:t>
      </w:r>
    </w:p>
  </w:footnote>
  <w:footnote w:id="67">
    <w:p w14:paraId="01C57810" w14:textId="3E0A4CB2" w:rsidR="00676BC2" w:rsidRPr="005C2C2B" w:rsidRDefault="00676BC2" w:rsidP="00C07370">
      <w:pPr>
        <w:pStyle w:val="Textonotapie"/>
        <w:rPr>
          <w:sz w:val="22"/>
          <w:szCs w:val="22"/>
        </w:rPr>
      </w:pPr>
      <w:r w:rsidRPr="005C2C2B">
        <w:rPr>
          <w:rStyle w:val="Refdenotaalpie"/>
          <w:sz w:val="22"/>
          <w:szCs w:val="22"/>
        </w:rPr>
        <w:footnoteRef/>
      </w:r>
      <w:r w:rsidRPr="005C2C2B">
        <w:rPr>
          <w:sz w:val="22"/>
          <w:szCs w:val="22"/>
        </w:rPr>
        <w:t xml:space="preserve"> Contradicción de tesis 105/2017, resuelta por la Segunda Sala el 23 de agosto de 2017, por </w:t>
      </w:r>
    </w:p>
    <w:p w14:paraId="6FA22F7C" w14:textId="2CE6CA30" w:rsidR="00DF49A5" w:rsidRPr="005C2C2B" w:rsidRDefault="00676BC2" w:rsidP="00C07370">
      <w:pPr>
        <w:pStyle w:val="Textonotapie"/>
        <w:rPr>
          <w:sz w:val="22"/>
          <w:szCs w:val="22"/>
        </w:rPr>
      </w:pPr>
      <w:r w:rsidRPr="005C2C2B">
        <w:rPr>
          <w:sz w:val="22"/>
          <w:szCs w:val="22"/>
        </w:rPr>
        <w:t>por mayoría de tres votos de los Ministros Alberto Pérez Dayán, José Fernando Franco González Salas y Presidente Eduardo Medina Mora I. (ponente). El Ministro Javier Laynez Potisek emitió su voto en contra. Ausente la Ministra Margarita Beatriz Luna Ramos.</w:t>
      </w:r>
    </w:p>
  </w:footnote>
  <w:footnote w:id="68">
    <w:p w14:paraId="05175635" w14:textId="61FA673F" w:rsidR="00DF49A5" w:rsidRPr="005C2C2B" w:rsidRDefault="00DF49A5" w:rsidP="00C07370">
      <w:pPr>
        <w:pStyle w:val="Textonotapie"/>
        <w:rPr>
          <w:iCs/>
          <w:sz w:val="22"/>
          <w:szCs w:val="22"/>
        </w:rPr>
      </w:pPr>
      <w:r w:rsidRPr="005C2C2B">
        <w:rPr>
          <w:rStyle w:val="Refdenotaalpie"/>
          <w:sz w:val="22"/>
          <w:szCs w:val="22"/>
        </w:rPr>
        <w:footnoteRef/>
      </w:r>
      <w:r w:rsidRPr="005C2C2B">
        <w:rPr>
          <w:b/>
          <w:iCs/>
          <w:sz w:val="22"/>
          <w:szCs w:val="22"/>
        </w:rPr>
        <w:t xml:space="preserve"> “</w:t>
      </w:r>
      <w:r w:rsidRPr="005C2C2B">
        <w:rPr>
          <w:b/>
          <w:bCs/>
          <w:iCs/>
          <w:sz w:val="22"/>
          <w:szCs w:val="22"/>
        </w:rPr>
        <w:t>PROCEDIMIENTO LEGISLATIVO DE URGENTE RESOLUCIÓN. LOS VICIOS EN SUS FORMALIDADES NO SON OPONIBLES EN LOS CONCEPTOS DE VIOLACIÓN PLANTEADOS EN EL JUICIO DE AMPARO.</w:t>
      </w:r>
      <w:r w:rsidRPr="005C2C2B">
        <w:rPr>
          <w:iCs/>
          <w:sz w:val="22"/>
          <w:szCs w:val="22"/>
        </w:rPr>
        <w:t xml:space="preserve"> Si bien es factible impugnar una ley o decreto por contravenir los artículos 14 y 16 de la Constitución Política de los Estados Unidos Mexicanos, específicamente por vicios en el proceso de su creación frente a las formalidades que la normativa secundaria correspondiente prevé, lo cierto es que, por virtud de la irradiación del principio de instancia de parte agraviada, los vicios que se expongan contra ese proceso deben repercutir en un derecho que tutele al quejoso o que tenga alguna afectación en su esfera de derechos –directa o indirectamente–, toda vez que sólo así el estudio respectivo y una eventual sentencia protectora podrán justificarse. Ahora, tratándose del procedimiento de urgente y obvia resolución –que implica la dispensa de trámites en la etapa de discusión y aprobación de una ley o decreto–, sus violaciones sólo pueden abordarse desde la consideración del principio de deliberación parlamentaria, conforme al cual se pugna por el derecho de participación de las fuerzas políticas con representación en condiciones de igualdad y libertad, es decir, de que se permita tanto a las mayorías como a las minorías parlamentarias expresar y defender su opinión en un contexto de deliberación pública. En ese tenor, como ese principio no tutela a los particulares, sino a los grupos parlamentarios, es evidente que al reclamarse leyes o decretos, las eventuales irregularidades en ese procedimiento no tienen un impacto que pueda redundar en los derechos al debido proceso y de legalidad reconocidos por los artículos 14 y 16 de la Constitución Federal y, por ende, no son oponibles en los conceptos de violación planteados en el juicio de amparo”.</w:t>
      </w:r>
    </w:p>
    <w:p w14:paraId="2A3776C5" w14:textId="0CB08B2F" w:rsidR="00982E8B" w:rsidRPr="005C2C2B" w:rsidRDefault="00982E8B" w:rsidP="00C07370">
      <w:pPr>
        <w:pStyle w:val="Textonotapie"/>
        <w:rPr>
          <w:sz w:val="22"/>
          <w:szCs w:val="22"/>
          <w:lang w:val="es-ES"/>
        </w:rPr>
      </w:pPr>
      <w:r w:rsidRPr="005C2C2B">
        <w:rPr>
          <w:sz w:val="22"/>
          <w:szCs w:val="22"/>
          <w:lang w:val="es-ES"/>
        </w:rPr>
        <w:t>Registro 2015322. [J]; Décima Época; Segunda Sala; Gaceta del Semanario Judicial de la Federación; Libro 47, Octubre de 2017, Tomo II, página 1062. 2a./J. 133/2017 (10a.).</w:t>
      </w:r>
    </w:p>
  </w:footnote>
  <w:footnote w:id="69">
    <w:p w14:paraId="05BE9BE4" w14:textId="602803DC" w:rsidR="00EA2A1E" w:rsidRPr="005C2C2B" w:rsidRDefault="00EA2A1E" w:rsidP="00C07370">
      <w:pPr>
        <w:pStyle w:val="Textonotapie"/>
        <w:rPr>
          <w:sz w:val="22"/>
          <w:szCs w:val="22"/>
          <w:lang w:val="es-ES"/>
        </w:rPr>
      </w:pPr>
      <w:r w:rsidRPr="005C2C2B">
        <w:rPr>
          <w:rStyle w:val="Refdenotaalpie"/>
          <w:sz w:val="22"/>
          <w:szCs w:val="22"/>
        </w:rPr>
        <w:footnoteRef/>
      </w:r>
      <w:r w:rsidRPr="005C2C2B">
        <w:rPr>
          <w:sz w:val="22"/>
          <w:szCs w:val="22"/>
        </w:rPr>
        <w:t xml:space="preserve"> </w:t>
      </w:r>
      <w:r w:rsidRPr="005C2C2B">
        <w:rPr>
          <w:sz w:val="22"/>
          <w:szCs w:val="22"/>
          <w:lang w:val="es-ES"/>
        </w:rPr>
        <w:t>Amparo en revisión 1344/2017, resuelto por la Segunda Sala el 9 de agosto de 2018, por unanimidad de 5 votos de los Ministros Alberto Pérez Dayán, Javier Laynez Potisek, José Fernando Franco González Salas (ponente), Margarita Beatriz Luna Ramos y Presidente Eduardo Medina Mora I.</w:t>
      </w:r>
    </w:p>
  </w:footnote>
  <w:footnote w:id="70">
    <w:p w14:paraId="00E45DD4" w14:textId="5AA6CABE" w:rsidR="00E91F96" w:rsidRPr="005C2C2B" w:rsidRDefault="00433B4E" w:rsidP="00C07370">
      <w:pPr>
        <w:pStyle w:val="Textonotapie"/>
        <w:rPr>
          <w:sz w:val="22"/>
          <w:szCs w:val="22"/>
          <w:lang w:val="es-ES"/>
        </w:rPr>
      </w:pPr>
      <w:r w:rsidRPr="005C2C2B">
        <w:rPr>
          <w:rStyle w:val="Refdenotaalpie"/>
          <w:sz w:val="22"/>
          <w:szCs w:val="22"/>
        </w:rPr>
        <w:footnoteRef/>
      </w:r>
      <w:r w:rsidRPr="005C2C2B">
        <w:rPr>
          <w:sz w:val="22"/>
          <w:szCs w:val="22"/>
        </w:rPr>
        <w:t xml:space="preserve"> Amparo en revisión 25/2021, resuelto por la Primera Sala el 18 de agosto de 2021, por unanimidad de 5 votos </w:t>
      </w:r>
      <w:r w:rsidR="00E91F96" w:rsidRPr="005C2C2B">
        <w:rPr>
          <w:sz w:val="22"/>
          <w:szCs w:val="22"/>
          <w:lang w:val="es-ES_tradnl"/>
        </w:rPr>
        <w:t>de las Ministras y Ministros Norma Lucía Piña Hernández, Juan Luis González Alcántara Carrancá, Jorge Mario Pardo Rebolledo, Alfredo Gutiérrez Ortiz Mena (Ponente) y Presidenta Ana Margarita Ríos Farjat.</w:t>
      </w:r>
    </w:p>
  </w:footnote>
  <w:footnote w:id="71">
    <w:p w14:paraId="07A45013" w14:textId="53BEBDB7" w:rsidR="00433B4E" w:rsidRPr="005C2C2B" w:rsidRDefault="00433B4E" w:rsidP="00C07370">
      <w:pPr>
        <w:pStyle w:val="Textonotapie"/>
        <w:rPr>
          <w:sz w:val="22"/>
          <w:szCs w:val="22"/>
          <w:lang w:val="es-ES"/>
        </w:rPr>
      </w:pPr>
      <w:r w:rsidRPr="005C2C2B">
        <w:rPr>
          <w:rStyle w:val="Refdenotaalpie"/>
          <w:sz w:val="22"/>
          <w:szCs w:val="22"/>
        </w:rPr>
        <w:footnoteRef/>
      </w:r>
      <w:r w:rsidRPr="005C2C2B">
        <w:rPr>
          <w:sz w:val="22"/>
          <w:szCs w:val="22"/>
        </w:rPr>
        <w:t xml:space="preserve"> </w:t>
      </w:r>
      <w:r w:rsidR="00E91F96" w:rsidRPr="005C2C2B">
        <w:rPr>
          <w:sz w:val="22"/>
          <w:szCs w:val="22"/>
        </w:rPr>
        <w:t xml:space="preserve">Amparo en revisión 27/2021, resuelto por la Primera Sala el 18 de agosto de 2021, por unanimidad de 5 votos </w:t>
      </w:r>
      <w:r w:rsidR="00E91F96" w:rsidRPr="005C2C2B">
        <w:rPr>
          <w:sz w:val="22"/>
          <w:szCs w:val="22"/>
          <w:lang w:val="es-ES_tradnl"/>
        </w:rPr>
        <w:t>de las Ministras y Ministros Norma Lucía Piña Hernández, Juan Luis González Alcántara Carrancá (ponente), Jorge Mario Pardo Rebolledo, Alfredo Gutiérrez Ortiz Mena y Presidenta Ana Margarita Ríos Farjat.</w:t>
      </w:r>
    </w:p>
  </w:footnote>
  <w:footnote w:id="72">
    <w:p w14:paraId="081F9931" w14:textId="3C2F32B7" w:rsidR="005F25DB" w:rsidRPr="005C2C2B" w:rsidRDefault="005F25DB" w:rsidP="00C07370">
      <w:pPr>
        <w:pStyle w:val="Textonotapie"/>
        <w:rPr>
          <w:sz w:val="22"/>
          <w:szCs w:val="22"/>
          <w:lang w:val="es-ES"/>
        </w:rPr>
      </w:pPr>
      <w:r w:rsidRPr="005C2C2B">
        <w:rPr>
          <w:rStyle w:val="Refdenotaalpie"/>
          <w:sz w:val="22"/>
          <w:szCs w:val="22"/>
        </w:rPr>
        <w:footnoteRef/>
      </w:r>
      <w:r w:rsidRPr="005C2C2B">
        <w:rPr>
          <w:sz w:val="22"/>
          <w:szCs w:val="22"/>
        </w:rPr>
        <w:t xml:space="preserve"> Amparo en revisión 25/2021, párrafos 84 y 85.</w:t>
      </w:r>
    </w:p>
  </w:footnote>
  <w:footnote w:id="73">
    <w:p w14:paraId="0DD637E9" w14:textId="77777777" w:rsidR="00A27C0A" w:rsidRPr="005C2C2B" w:rsidRDefault="00A27C0A" w:rsidP="00A27C0A">
      <w:pPr>
        <w:pStyle w:val="Textonotapie"/>
        <w:rPr>
          <w:color w:val="000000" w:themeColor="text1"/>
          <w:sz w:val="22"/>
          <w:szCs w:val="22"/>
          <w:lang w:val="es-ES"/>
        </w:rPr>
      </w:pPr>
      <w:r w:rsidRPr="005C2C2B">
        <w:rPr>
          <w:rStyle w:val="Refdenotaalpie"/>
          <w:color w:val="000000" w:themeColor="text1"/>
          <w:sz w:val="22"/>
          <w:szCs w:val="22"/>
        </w:rPr>
        <w:footnoteRef/>
      </w:r>
      <w:r w:rsidRPr="005C2C2B">
        <w:rPr>
          <w:color w:val="000000" w:themeColor="text1"/>
          <w:sz w:val="22"/>
          <w:szCs w:val="22"/>
        </w:rPr>
        <w:t xml:space="preserve"> Conceptos de invalidez Quinto de Movimiento Ciudadano y Primero de la Minoría Parlamentaria.</w:t>
      </w:r>
    </w:p>
  </w:footnote>
  <w:footnote w:id="74">
    <w:p w14:paraId="6E2BAABA" w14:textId="77777777" w:rsidR="00A27C0A" w:rsidRPr="005C2C2B" w:rsidRDefault="00A27C0A" w:rsidP="00A27C0A">
      <w:pPr>
        <w:pStyle w:val="Textonotapie"/>
        <w:rPr>
          <w:color w:val="000000" w:themeColor="text1"/>
          <w:sz w:val="22"/>
          <w:szCs w:val="22"/>
        </w:rPr>
      </w:pPr>
      <w:r w:rsidRPr="005C2C2B">
        <w:rPr>
          <w:rStyle w:val="Refdenotaalpie"/>
          <w:color w:val="000000" w:themeColor="text1"/>
          <w:sz w:val="22"/>
          <w:szCs w:val="22"/>
        </w:rPr>
        <w:footnoteRef/>
      </w:r>
      <w:r w:rsidRPr="005C2C2B">
        <w:rPr>
          <w:color w:val="000000" w:themeColor="text1"/>
          <w:sz w:val="22"/>
          <w:szCs w:val="22"/>
        </w:rPr>
        <w:t xml:space="preserve"> Conceptos de invalidez Cuarto de Movimiento Ciudadano y Quinto de la Minoría Parlamentaria.</w:t>
      </w:r>
    </w:p>
  </w:footnote>
  <w:footnote w:id="75">
    <w:p w14:paraId="5667D591" w14:textId="7622419B" w:rsidR="005B436E" w:rsidRPr="005C2C2B" w:rsidRDefault="005B436E" w:rsidP="00C07370">
      <w:pPr>
        <w:pStyle w:val="Textonotapie"/>
        <w:rPr>
          <w:sz w:val="22"/>
          <w:szCs w:val="22"/>
          <w:lang w:val="es-ES"/>
        </w:rPr>
      </w:pPr>
      <w:r w:rsidRPr="005C2C2B">
        <w:rPr>
          <w:rStyle w:val="Refdenotaalpie"/>
          <w:sz w:val="22"/>
          <w:szCs w:val="22"/>
        </w:rPr>
        <w:footnoteRef/>
      </w:r>
      <w:r w:rsidRPr="005C2C2B">
        <w:rPr>
          <w:sz w:val="22"/>
          <w:szCs w:val="22"/>
        </w:rPr>
        <w:t xml:space="preserve"> En este caso, el vocablo “</w:t>
      </w:r>
      <w:r w:rsidRPr="005C2C2B">
        <w:rPr>
          <w:i/>
          <w:iCs/>
          <w:sz w:val="22"/>
          <w:szCs w:val="22"/>
        </w:rPr>
        <w:t>como</w:t>
      </w:r>
      <w:r w:rsidRPr="005C2C2B">
        <w:rPr>
          <w:sz w:val="22"/>
          <w:szCs w:val="22"/>
        </w:rPr>
        <w:t>” es utilizado como un adverbio para ejemplificar.</w:t>
      </w:r>
    </w:p>
  </w:footnote>
  <w:footnote w:id="76">
    <w:p w14:paraId="53175225" w14:textId="77777777" w:rsidR="009F583D" w:rsidRPr="005C2C2B" w:rsidRDefault="009F583D" w:rsidP="00C07370">
      <w:pPr>
        <w:spacing w:before="0" w:after="0" w:line="240" w:lineRule="auto"/>
        <w:rPr>
          <w:sz w:val="22"/>
          <w:szCs w:val="22"/>
        </w:rPr>
      </w:pPr>
      <w:r w:rsidRPr="005C2C2B">
        <w:rPr>
          <w:rStyle w:val="Refdenotaalpie"/>
          <w:sz w:val="22"/>
          <w:szCs w:val="22"/>
        </w:rPr>
        <w:footnoteRef/>
      </w:r>
      <w:r w:rsidRPr="005C2C2B">
        <w:rPr>
          <w:sz w:val="22"/>
          <w:szCs w:val="22"/>
        </w:rPr>
        <w:t xml:space="preserve"> “</w:t>
      </w:r>
      <w:r w:rsidRPr="005C2C2B">
        <w:rPr>
          <w:b/>
          <w:bCs/>
          <w:sz w:val="22"/>
          <w:szCs w:val="22"/>
        </w:rPr>
        <w:t>Artículo 99</w:t>
      </w:r>
      <w:r w:rsidRPr="005C2C2B">
        <w:rPr>
          <w:sz w:val="22"/>
          <w:szCs w:val="22"/>
        </w:rPr>
        <w:t xml:space="preserve">.- </w:t>
      </w:r>
      <w:r w:rsidRPr="005C2C2B">
        <w:rPr>
          <w:sz w:val="22"/>
          <w:szCs w:val="22"/>
          <w:u w:val="single"/>
        </w:rPr>
        <w:t>El Tribunal Electoral será, con excepción de lo dispuesto en la fracción II del artículo 105 de esta Constitución, la máxima autoridad jurisdiccional en la materia</w:t>
      </w:r>
      <w:r w:rsidRPr="005C2C2B">
        <w:rPr>
          <w:sz w:val="22"/>
          <w:szCs w:val="22"/>
        </w:rPr>
        <w:t xml:space="preserve"> y órgano especializado del Poder Judicial de la Federación.</w:t>
      </w:r>
    </w:p>
    <w:p w14:paraId="40B72E02" w14:textId="77777777" w:rsidR="009F583D" w:rsidRPr="005C2C2B" w:rsidRDefault="009F583D" w:rsidP="00C07370">
      <w:pPr>
        <w:spacing w:before="0" w:after="0" w:line="240" w:lineRule="auto"/>
        <w:rPr>
          <w:sz w:val="22"/>
          <w:szCs w:val="22"/>
        </w:rPr>
      </w:pPr>
      <w:r w:rsidRPr="005C2C2B">
        <w:rPr>
          <w:sz w:val="22"/>
          <w:szCs w:val="22"/>
        </w:rPr>
        <w:t>(…)</w:t>
      </w:r>
    </w:p>
    <w:p w14:paraId="4E6CD107" w14:textId="77777777" w:rsidR="009F583D" w:rsidRPr="005C2C2B" w:rsidRDefault="009F583D" w:rsidP="00C07370">
      <w:pPr>
        <w:spacing w:before="0" w:after="0" w:line="240" w:lineRule="auto"/>
        <w:rPr>
          <w:sz w:val="22"/>
          <w:szCs w:val="22"/>
        </w:rPr>
      </w:pPr>
      <w:r w:rsidRPr="005C2C2B">
        <w:rPr>
          <w:sz w:val="22"/>
          <w:szCs w:val="22"/>
        </w:rPr>
        <w:t>Al Tribunal Electoral le corresponde resolver en forma definitiva e inatacable, en los términos de esta Constitución y según lo disponga la ley, sobre:</w:t>
      </w:r>
    </w:p>
    <w:p w14:paraId="3F9BCC44" w14:textId="77777777" w:rsidR="009F583D" w:rsidRPr="005C2C2B" w:rsidRDefault="009F583D" w:rsidP="00C07370">
      <w:pPr>
        <w:spacing w:before="0" w:after="0" w:line="240" w:lineRule="auto"/>
        <w:rPr>
          <w:sz w:val="22"/>
          <w:szCs w:val="22"/>
        </w:rPr>
      </w:pPr>
      <w:r w:rsidRPr="005C2C2B">
        <w:rPr>
          <w:sz w:val="22"/>
          <w:szCs w:val="22"/>
        </w:rPr>
        <w:t>(…)</w:t>
      </w:r>
    </w:p>
    <w:p w14:paraId="56F8148F" w14:textId="77777777" w:rsidR="009F583D" w:rsidRPr="005C2C2B" w:rsidRDefault="009F583D" w:rsidP="00C07370">
      <w:pPr>
        <w:spacing w:before="0" w:after="0" w:line="240" w:lineRule="auto"/>
        <w:rPr>
          <w:sz w:val="22"/>
          <w:szCs w:val="22"/>
        </w:rPr>
      </w:pPr>
      <w:r w:rsidRPr="005C2C2B">
        <w:rPr>
          <w:b/>
          <w:bCs/>
          <w:sz w:val="22"/>
          <w:szCs w:val="22"/>
        </w:rPr>
        <w:t>V.</w:t>
      </w:r>
      <w:r w:rsidRPr="005C2C2B">
        <w:rPr>
          <w:sz w:val="22"/>
          <w:szCs w:val="22"/>
        </w:rPr>
        <w:t xml:space="preserve"> </w:t>
      </w:r>
      <w:r w:rsidRPr="005C2C2B">
        <w:rPr>
          <w:sz w:val="22"/>
          <w:szCs w:val="22"/>
          <w:u w:val="single"/>
        </w:rPr>
        <w:t>Las impugnaciones de actos y resoluciones que violen los derechos político electorales de los ciudadanos de votar, ser votado</w:t>
      </w:r>
      <w:r w:rsidRPr="005C2C2B">
        <w:rPr>
          <w:sz w:val="22"/>
          <w:szCs w:val="22"/>
        </w:rPr>
        <w:t xml:space="preserve"> y de afiliación libre y pacífica para tomar parte en los asuntos políticos del país, en los términos que señalen esta Constitución y las leyes. (…)</w:t>
      </w:r>
    </w:p>
    <w:p w14:paraId="06399336" w14:textId="77777777" w:rsidR="009F583D" w:rsidRPr="005C2C2B" w:rsidRDefault="009F583D" w:rsidP="00C07370">
      <w:pPr>
        <w:spacing w:before="0" w:after="0" w:line="240" w:lineRule="auto"/>
        <w:rPr>
          <w:sz w:val="22"/>
          <w:szCs w:val="22"/>
        </w:rPr>
      </w:pPr>
      <w:r w:rsidRPr="005C2C2B">
        <w:rPr>
          <w:sz w:val="22"/>
          <w:szCs w:val="22"/>
        </w:rPr>
        <w:t>X. Las demás que señale la ley.</w:t>
      </w:r>
    </w:p>
    <w:p w14:paraId="0C11708A" w14:textId="1E3149F3" w:rsidR="009F583D" w:rsidRPr="005C2C2B" w:rsidRDefault="009F583D" w:rsidP="00C07370">
      <w:pPr>
        <w:spacing w:before="0" w:after="0" w:line="240" w:lineRule="auto"/>
        <w:rPr>
          <w:sz w:val="22"/>
          <w:szCs w:val="22"/>
        </w:rPr>
      </w:pPr>
      <w:r w:rsidRPr="005C2C2B">
        <w:rPr>
          <w:sz w:val="22"/>
          <w:szCs w:val="22"/>
        </w:rPr>
        <w:t>(…)”.</w:t>
      </w:r>
    </w:p>
  </w:footnote>
  <w:footnote w:id="77">
    <w:p w14:paraId="296D3211" w14:textId="77777777" w:rsidR="00C00547" w:rsidRPr="005C2C2B" w:rsidRDefault="00C00547" w:rsidP="00C07370">
      <w:pPr>
        <w:pStyle w:val="Textonotapie"/>
        <w:rPr>
          <w:sz w:val="22"/>
          <w:szCs w:val="22"/>
          <w:lang w:val="es-ES"/>
        </w:rPr>
      </w:pPr>
      <w:r w:rsidRPr="005C2C2B">
        <w:rPr>
          <w:rStyle w:val="Refdenotaalpie"/>
          <w:sz w:val="22"/>
          <w:szCs w:val="22"/>
        </w:rPr>
        <w:footnoteRef/>
      </w:r>
      <w:r w:rsidRPr="005C2C2B">
        <w:rPr>
          <w:sz w:val="22"/>
          <w:szCs w:val="22"/>
        </w:rPr>
        <w:t xml:space="preserve"> Amparo en revisión 25/2021, resuelto por la Primera Sala el 18 de agosto de 2021, por unanimidad de 5 votos </w:t>
      </w:r>
      <w:r w:rsidRPr="005C2C2B">
        <w:rPr>
          <w:sz w:val="22"/>
          <w:szCs w:val="22"/>
          <w:lang w:val="es-ES_tradnl"/>
        </w:rPr>
        <w:t>de las Ministras y Ministros Norma Lucía Piña Hernández, Juan Luis González Alcántara Carrancá, Jorge Mario Pardo Rebolledo, Alfredo Gutiérrez Ortiz Mena (Ponente) y Presidenta Ana Margarita Ríos Farjat.</w:t>
      </w:r>
    </w:p>
  </w:footnote>
  <w:footnote w:id="78">
    <w:p w14:paraId="5D266D52" w14:textId="77777777" w:rsidR="00C00547" w:rsidRPr="005C2C2B" w:rsidRDefault="00C00547" w:rsidP="00C07370">
      <w:pPr>
        <w:pStyle w:val="Textonotapie"/>
        <w:rPr>
          <w:sz w:val="22"/>
          <w:szCs w:val="22"/>
          <w:lang w:val="es-ES"/>
        </w:rPr>
      </w:pPr>
      <w:r w:rsidRPr="005C2C2B">
        <w:rPr>
          <w:rStyle w:val="Refdenotaalpie"/>
          <w:sz w:val="22"/>
          <w:szCs w:val="22"/>
        </w:rPr>
        <w:footnoteRef/>
      </w:r>
      <w:r w:rsidRPr="005C2C2B">
        <w:rPr>
          <w:sz w:val="22"/>
          <w:szCs w:val="22"/>
        </w:rPr>
        <w:t xml:space="preserve"> Amparo en revisión 27/2021, resuelto por la Primera Sala el 18 de agosto de 2021, por unanimidad de 5 votos </w:t>
      </w:r>
      <w:r w:rsidRPr="005C2C2B">
        <w:rPr>
          <w:sz w:val="22"/>
          <w:szCs w:val="22"/>
          <w:lang w:val="es-ES_tradnl"/>
        </w:rPr>
        <w:t>de las Ministras y Ministros Norma Lucía Piña Hernández, Juan Luis González Alcántara Carrancá (ponente), Jorge Mario Pardo Rebolledo, Alfredo Gutiérrez Ortiz Mena y Presidenta Ana Margarita Ríos Farjat.</w:t>
      </w:r>
    </w:p>
  </w:footnote>
  <w:footnote w:id="79">
    <w:p w14:paraId="29B4C3E9" w14:textId="77777777" w:rsidR="001D4328" w:rsidRPr="005C2C2B" w:rsidRDefault="001D4328" w:rsidP="00C07370">
      <w:pPr>
        <w:pStyle w:val="Estilo"/>
        <w:rPr>
          <w:rFonts w:cs="Arial"/>
          <w:color w:val="000000" w:themeColor="text1"/>
          <w:sz w:val="22"/>
        </w:rPr>
      </w:pPr>
      <w:r w:rsidRPr="005C2C2B">
        <w:rPr>
          <w:rStyle w:val="Refdenotaalpie"/>
          <w:rFonts w:cs="Arial"/>
          <w:color w:val="000000" w:themeColor="text1"/>
          <w:sz w:val="22"/>
        </w:rPr>
        <w:footnoteRef/>
      </w:r>
      <w:r w:rsidRPr="005C2C2B">
        <w:rPr>
          <w:rFonts w:cs="Arial"/>
          <w:color w:val="000000" w:themeColor="text1"/>
          <w:sz w:val="22"/>
        </w:rPr>
        <w:t xml:space="preserve"> “</w:t>
      </w:r>
      <w:r w:rsidRPr="005C2C2B">
        <w:rPr>
          <w:rFonts w:cs="Arial"/>
          <w:b/>
          <w:color w:val="000000" w:themeColor="text1"/>
          <w:sz w:val="22"/>
        </w:rPr>
        <w:t>Artículo 39</w:t>
      </w:r>
      <w:r w:rsidRPr="005C2C2B">
        <w:rPr>
          <w:rFonts w:cs="Arial"/>
          <w:color w:val="000000" w:themeColor="text1"/>
          <w:sz w:val="22"/>
        </w:rPr>
        <w:t>.- La soberanía nacional reside esencial y originariamente en el pueblo. Todo poder público dimana del pueblo y se instituye para beneficio de éste. El pueblo tiene en todo tiempo el inalienable derecho de alterar o modificar la forma de su gobierno”.</w:t>
      </w:r>
    </w:p>
  </w:footnote>
  <w:footnote w:id="80">
    <w:p w14:paraId="6F1CF3F1" w14:textId="2AAEC2C0" w:rsidR="00FC4418" w:rsidRPr="005C2C2B" w:rsidRDefault="00FC4418" w:rsidP="00C07370">
      <w:pPr>
        <w:pStyle w:val="Textonotapie"/>
        <w:rPr>
          <w:sz w:val="22"/>
          <w:szCs w:val="22"/>
          <w:lang w:val="es-ES"/>
        </w:rPr>
      </w:pPr>
      <w:r w:rsidRPr="005C2C2B">
        <w:rPr>
          <w:rStyle w:val="Refdenotaalpie"/>
          <w:sz w:val="22"/>
          <w:szCs w:val="22"/>
        </w:rPr>
        <w:footnoteRef/>
      </w:r>
      <w:r w:rsidRPr="005C2C2B">
        <w:rPr>
          <w:sz w:val="22"/>
          <w:szCs w:val="22"/>
        </w:rPr>
        <w:t xml:space="preserve"> </w:t>
      </w:r>
      <w:r w:rsidRPr="005C2C2B">
        <w:rPr>
          <w:sz w:val="22"/>
          <w:szCs w:val="22"/>
          <w:lang w:val="es-ES"/>
        </w:rPr>
        <w:t xml:space="preserve">Controversia constitucional 140/2006, resuelta por la </w:t>
      </w:r>
      <w:r w:rsidR="005E4E81">
        <w:rPr>
          <w:sz w:val="22"/>
          <w:szCs w:val="22"/>
          <w:lang w:val="es-ES"/>
        </w:rPr>
        <w:t>Primera</w:t>
      </w:r>
      <w:r w:rsidRPr="005C2C2B">
        <w:rPr>
          <w:sz w:val="22"/>
          <w:szCs w:val="22"/>
          <w:lang w:val="es-ES"/>
        </w:rPr>
        <w:t xml:space="preserve"> Sala el 15 de agosto de 2007, por unanimidad de 5 votos de los Ministros José de Jesús Gudiño Pelayo, Sergio A. Valls Hernández (Ponente), Juan N. Silva Meza, Olga Sánchez Cordero de García Villegas y Presidente José Ramón Cossío Díaz.</w:t>
      </w:r>
    </w:p>
  </w:footnote>
  <w:footnote w:id="81">
    <w:p w14:paraId="277E7CC5" w14:textId="77777777" w:rsidR="008454F1" w:rsidRPr="005C2C2B" w:rsidRDefault="008454F1" w:rsidP="00C07370">
      <w:pPr>
        <w:pStyle w:val="Textonotapie"/>
        <w:rPr>
          <w:sz w:val="22"/>
          <w:szCs w:val="22"/>
        </w:rPr>
      </w:pPr>
      <w:r w:rsidRPr="005C2C2B">
        <w:rPr>
          <w:rStyle w:val="Refdenotaalpie"/>
          <w:sz w:val="22"/>
          <w:szCs w:val="22"/>
        </w:rPr>
        <w:footnoteRef/>
      </w:r>
      <w:r w:rsidRPr="005C2C2B">
        <w:rPr>
          <w:sz w:val="22"/>
          <w:szCs w:val="22"/>
        </w:rPr>
        <w:t xml:space="preserve"> Contradicción de tesis 105/2017, resuelta por la Segunda Sala el 23 de agosto de 2017, por </w:t>
      </w:r>
    </w:p>
    <w:p w14:paraId="3A854FC2" w14:textId="77777777" w:rsidR="008454F1" w:rsidRPr="005C2C2B" w:rsidRDefault="008454F1" w:rsidP="00C07370">
      <w:pPr>
        <w:pStyle w:val="Textonotapie"/>
        <w:rPr>
          <w:sz w:val="22"/>
          <w:szCs w:val="22"/>
        </w:rPr>
      </w:pPr>
      <w:r w:rsidRPr="005C2C2B">
        <w:rPr>
          <w:sz w:val="22"/>
          <w:szCs w:val="22"/>
        </w:rPr>
        <w:t>por mayoría de tres votos de los Ministros Alberto Pérez Dayán, José Fernando Franco González Salas y Presidente Eduardo Medina Mora I. (ponente). El Ministro Javier Laynez Potisek emitió su voto en contra. Ausente la Ministra Margarita Beatriz Luna Ramos.</w:t>
      </w:r>
    </w:p>
  </w:footnote>
  <w:footnote w:id="82">
    <w:p w14:paraId="187C88A2" w14:textId="7C4B26EA" w:rsidR="00CF6BDE" w:rsidRPr="005C2C2B" w:rsidRDefault="00CF6BDE" w:rsidP="00C07370">
      <w:pPr>
        <w:spacing w:before="0" w:after="0" w:line="240" w:lineRule="auto"/>
        <w:rPr>
          <w:rFonts w:eastAsia="Times New Roman"/>
          <w:color w:val="000000" w:themeColor="text1"/>
          <w:sz w:val="22"/>
          <w:szCs w:val="22"/>
          <w:lang w:eastAsia="es-MX"/>
        </w:rPr>
      </w:pPr>
      <w:r w:rsidRPr="005C2C2B">
        <w:rPr>
          <w:rStyle w:val="Refdenotaalpie"/>
          <w:sz w:val="22"/>
          <w:szCs w:val="22"/>
        </w:rPr>
        <w:footnoteRef/>
      </w:r>
      <w:r w:rsidRPr="005C2C2B">
        <w:rPr>
          <w:sz w:val="22"/>
          <w:szCs w:val="22"/>
        </w:rPr>
        <w:t xml:space="preserve"> </w:t>
      </w:r>
      <w:r w:rsidRPr="005C2C2B">
        <w:rPr>
          <w:rFonts w:eastAsia="Times New Roman"/>
          <w:color w:val="000000" w:themeColor="text1"/>
          <w:sz w:val="22"/>
          <w:szCs w:val="22"/>
          <w:lang w:eastAsia="es-MX"/>
        </w:rPr>
        <w:t>“</w:t>
      </w:r>
      <w:r w:rsidRPr="005C2C2B">
        <w:rPr>
          <w:rFonts w:eastAsia="Times New Roman"/>
          <w:b/>
          <w:bCs/>
          <w:color w:val="000000" w:themeColor="text1"/>
          <w:sz w:val="22"/>
          <w:szCs w:val="22"/>
          <w:lang w:eastAsia="es-MX"/>
        </w:rPr>
        <w:t>Artículo 41</w:t>
      </w:r>
      <w:r w:rsidRPr="005C2C2B">
        <w:rPr>
          <w:rFonts w:eastAsia="Times New Roman"/>
          <w:color w:val="000000" w:themeColor="text1"/>
          <w:sz w:val="22"/>
          <w:szCs w:val="22"/>
          <w:lang w:eastAsia="es-MX"/>
        </w:rPr>
        <w:t xml:space="preserve">.- (…) </w:t>
      </w:r>
      <w:r w:rsidRPr="005C2C2B">
        <w:rPr>
          <w:rFonts w:eastAsia="Times New Roman"/>
          <w:color w:val="000000" w:themeColor="text1"/>
          <w:sz w:val="22"/>
          <w:szCs w:val="22"/>
          <w:u w:val="single"/>
          <w:lang w:eastAsia="es-MX"/>
        </w:rPr>
        <w:t>La renovación de los poderes Legislativo y Ejecutivo se realizará mediante elecciones libres, auténticas y periódicas, conforme a las siguientes bases</w:t>
      </w:r>
      <w:r w:rsidRPr="005C2C2B">
        <w:rPr>
          <w:rFonts w:eastAsia="Times New Roman"/>
          <w:color w:val="000000" w:themeColor="text1"/>
          <w:sz w:val="22"/>
          <w:szCs w:val="22"/>
          <w:lang w:eastAsia="es-MX"/>
        </w:rPr>
        <w:t>:</w:t>
      </w:r>
    </w:p>
    <w:p w14:paraId="7C9277FA" w14:textId="77777777" w:rsidR="00CF6BDE" w:rsidRPr="005C2C2B" w:rsidRDefault="00CF6BDE" w:rsidP="00C07370">
      <w:pPr>
        <w:spacing w:before="0" w:after="0" w:line="240" w:lineRule="auto"/>
        <w:rPr>
          <w:rFonts w:eastAsia="Times New Roman"/>
          <w:color w:val="000000" w:themeColor="text1"/>
          <w:sz w:val="22"/>
          <w:szCs w:val="22"/>
          <w:lang w:eastAsia="es-MX"/>
        </w:rPr>
      </w:pPr>
      <w:r w:rsidRPr="005C2C2B">
        <w:rPr>
          <w:rFonts w:eastAsia="Times New Roman"/>
          <w:color w:val="000000" w:themeColor="text1"/>
          <w:sz w:val="22"/>
          <w:szCs w:val="22"/>
          <w:lang w:eastAsia="es-MX"/>
        </w:rPr>
        <w:t xml:space="preserve">(…) </w:t>
      </w:r>
      <w:r w:rsidRPr="005C2C2B">
        <w:rPr>
          <w:rFonts w:eastAsia="Times New Roman"/>
          <w:b/>
          <w:bCs/>
          <w:color w:val="000000" w:themeColor="text1"/>
          <w:sz w:val="22"/>
          <w:szCs w:val="22"/>
          <w:lang w:eastAsia="es-MX"/>
        </w:rPr>
        <w:t>VI.</w:t>
      </w:r>
      <w:r w:rsidRPr="005C2C2B">
        <w:rPr>
          <w:rFonts w:eastAsia="Times New Roman"/>
          <w:color w:val="000000" w:themeColor="text1"/>
          <w:sz w:val="22"/>
          <w:szCs w:val="22"/>
          <w:lang w:eastAsia="es-MX"/>
        </w:rPr>
        <w:t xml:space="preserve"> Para garantizar los </w:t>
      </w:r>
      <w:r w:rsidRPr="005C2C2B">
        <w:rPr>
          <w:rFonts w:eastAsia="Times New Roman"/>
          <w:color w:val="000000" w:themeColor="text1"/>
          <w:sz w:val="22"/>
          <w:szCs w:val="22"/>
          <w:u w:val="single"/>
          <w:lang w:eastAsia="es-MX"/>
        </w:rPr>
        <w:t>principios de constitucionalidad y legalidad de los actos y resoluciones electorales</w:t>
      </w:r>
      <w:r w:rsidRPr="005C2C2B">
        <w:rPr>
          <w:rFonts w:eastAsia="Times New Roman"/>
          <w:color w:val="000000" w:themeColor="text1"/>
          <w:sz w:val="22"/>
          <w:szCs w:val="22"/>
          <w:lang w:eastAsia="es-MX"/>
        </w:rPr>
        <w:t xml:space="preserve">, incluidos los relativos a los procesos de consulta popular y de revocación de mandato, </w:t>
      </w:r>
      <w:r w:rsidRPr="005C2C2B">
        <w:rPr>
          <w:rFonts w:eastAsia="Times New Roman"/>
          <w:color w:val="000000" w:themeColor="text1"/>
          <w:sz w:val="22"/>
          <w:szCs w:val="22"/>
          <w:u w:val="single"/>
          <w:lang w:eastAsia="es-MX"/>
        </w:rPr>
        <w:t>se establecerá un sistema de medios de impugnación en los términos que señalen esta Constitución y la ley</w:t>
      </w:r>
      <w:r w:rsidRPr="005C2C2B">
        <w:rPr>
          <w:rFonts w:eastAsia="Times New Roman"/>
          <w:color w:val="000000" w:themeColor="text1"/>
          <w:sz w:val="22"/>
          <w:szCs w:val="22"/>
          <w:lang w:eastAsia="es-MX"/>
        </w:rPr>
        <w:t>. Dicho sistema dará definitividad a las distintas etapas de los procesos electorales, de consulta popular y de revocación de mandato, y garantizará la protección de los derechos políticos de los ciudadanos de votar, ser votados y de asociación, en los términos del artículo 99 de esta Constitución.</w:t>
      </w:r>
    </w:p>
    <w:p w14:paraId="1A11BCD1" w14:textId="77777777" w:rsidR="00CF6BDE" w:rsidRPr="005C2C2B" w:rsidRDefault="00CF6BDE" w:rsidP="00C07370">
      <w:pPr>
        <w:spacing w:before="0" w:after="0" w:line="240" w:lineRule="auto"/>
        <w:rPr>
          <w:color w:val="000000" w:themeColor="text1"/>
          <w:sz w:val="22"/>
          <w:szCs w:val="22"/>
        </w:rPr>
      </w:pPr>
      <w:r w:rsidRPr="005C2C2B">
        <w:rPr>
          <w:rFonts w:eastAsia="Times New Roman"/>
          <w:color w:val="000000" w:themeColor="text1"/>
          <w:sz w:val="22"/>
          <w:szCs w:val="22"/>
          <w:lang w:eastAsia="es-MX"/>
        </w:rPr>
        <w:t>(…)”.</w:t>
      </w:r>
    </w:p>
  </w:footnote>
  <w:footnote w:id="83">
    <w:p w14:paraId="034E1CF7" w14:textId="77777777" w:rsidR="00FD6EC6" w:rsidRPr="005C2C2B" w:rsidRDefault="00FD6EC6" w:rsidP="00C07370">
      <w:pPr>
        <w:pStyle w:val="Textonotapie"/>
        <w:ind w:right="-376"/>
        <w:rPr>
          <w:sz w:val="22"/>
          <w:szCs w:val="22"/>
        </w:rPr>
      </w:pPr>
      <w:r w:rsidRPr="005C2C2B">
        <w:rPr>
          <w:rStyle w:val="Refdenotaalpie"/>
          <w:sz w:val="22"/>
          <w:szCs w:val="22"/>
        </w:rPr>
        <w:footnoteRef/>
      </w:r>
      <w:r w:rsidRPr="005C2C2B">
        <w:rPr>
          <w:sz w:val="22"/>
          <w:szCs w:val="22"/>
        </w:rPr>
        <w:t xml:space="preserve"> Registro 181398. [J]; 9a. Época; Pleno; S.J.F. y su Gaceta; Tomo XIX, Junio de 2004; Pág. 863.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9341" w14:textId="14EF50CB" w:rsidR="009A6DD6" w:rsidRDefault="009A6DD6" w:rsidP="00DC37EC">
    <w:pPr>
      <w:jc w:val="center"/>
      <w:rPr>
        <w:b/>
        <w:sz w:val="28"/>
        <w:szCs w:val="28"/>
      </w:rPr>
    </w:pPr>
  </w:p>
  <w:p w14:paraId="2EAFF995" w14:textId="77777777" w:rsidR="009A6DD6" w:rsidRDefault="009A6DD6" w:rsidP="00DC37EC">
    <w:pPr>
      <w:jc w:val="center"/>
      <w:rPr>
        <w:b/>
        <w:sz w:val="28"/>
        <w:szCs w:val="28"/>
      </w:rPr>
    </w:pPr>
  </w:p>
  <w:p w14:paraId="3006A238" w14:textId="2FA92B8B" w:rsidR="0046524E" w:rsidRPr="00F10E2A" w:rsidRDefault="00D13E08" w:rsidP="00DC37EC">
    <w:pPr>
      <w:jc w:val="center"/>
      <w:rPr>
        <w:rFonts w:eastAsia="Times New Roman"/>
        <w:b/>
        <w:color w:val="000000" w:themeColor="text1"/>
        <w:sz w:val="28"/>
        <w:szCs w:val="28"/>
        <w:lang w:val="es-ES_tradnl" w:eastAsia="es-ES"/>
      </w:rPr>
    </w:pPr>
    <w:r w:rsidRPr="00F10E2A">
      <w:rPr>
        <w:rFonts w:eastAsia="Times New Roman"/>
        <w:b/>
        <w:color w:val="000000" w:themeColor="text1"/>
        <w:sz w:val="28"/>
        <w:szCs w:val="28"/>
        <w:lang w:val="es-ES_tradnl" w:eastAsia="es-ES"/>
      </w:rPr>
      <w:t>ACCIÓN DE INCONSTITUCIONALIDA</w:t>
    </w:r>
    <w:r w:rsidR="00F15FD9" w:rsidRPr="00F10E2A">
      <w:rPr>
        <w:rFonts w:eastAsia="Times New Roman"/>
        <w:b/>
        <w:color w:val="000000" w:themeColor="text1"/>
        <w:sz w:val="28"/>
        <w:szCs w:val="28"/>
        <w:lang w:val="es-ES_tradnl" w:eastAsia="es-ES"/>
      </w:rPr>
      <w:t xml:space="preserve">D </w:t>
    </w:r>
    <w:r w:rsidR="004C1176" w:rsidRPr="00F10E2A">
      <w:rPr>
        <w:rFonts w:eastAsia="Times New Roman"/>
        <w:b/>
        <w:color w:val="000000" w:themeColor="text1"/>
        <w:sz w:val="28"/>
        <w:szCs w:val="28"/>
        <w:lang w:val="es-ES_tradnl" w:eastAsia="es-ES"/>
      </w:rPr>
      <w:t>62/2022</w:t>
    </w:r>
  </w:p>
  <w:p w14:paraId="07F839A2" w14:textId="0E2D78FB" w:rsidR="00A75CD3" w:rsidRPr="00F10E2A" w:rsidRDefault="00A75CD3" w:rsidP="00DC37EC">
    <w:pPr>
      <w:jc w:val="center"/>
      <w:rPr>
        <w:rFonts w:eastAsia="Times New Roman"/>
        <w:b/>
        <w:color w:val="000000" w:themeColor="text1"/>
        <w:sz w:val="28"/>
        <w:szCs w:val="28"/>
        <w:lang w:val="es-ES_tradnl" w:eastAsia="es-ES"/>
      </w:rPr>
    </w:pPr>
    <w:r w:rsidRPr="00F10E2A">
      <w:rPr>
        <w:rFonts w:eastAsia="Times New Roman"/>
        <w:b/>
        <w:color w:val="000000" w:themeColor="text1"/>
        <w:sz w:val="28"/>
        <w:szCs w:val="28"/>
        <w:lang w:val="es-ES_tradnl" w:eastAsia="es-ES"/>
      </w:rPr>
      <w:t>Y SU ACUMULADA 77/2022</w:t>
    </w:r>
    <w:r w:rsidR="001E1A94">
      <w:rPr>
        <w:rFonts w:eastAsia="Times New Roman"/>
        <w:b/>
        <w:color w:val="000000" w:themeColor="text1"/>
        <w:sz w:val="28"/>
        <w:szCs w:val="28"/>
        <w:lang w:val="es-ES_tradnl" w:eastAsia="es-ES"/>
      </w:rPr>
      <w:t>.</w:t>
    </w:r>
  </w:p>
  <w:p w14:paraId="098A1710" w14:textId="77777777" w:rsidR="0024178A" w:rsidRDefault="0024178A" w:rsidP="00DC37EC">
    <w:pPr>
      <w:jc w:val="center"/>
      <w:rPr>
        <w:b/>
        <w:sz w:val="28"/>
        <w:szCs w:val="28"/>
      </w:rPr>
    </w:pPr>
  </w:p>
  <w:p w14:paraId="11A376B0" w14:textId="77777777" w:rsidR="0024178A" w:rsidRPr="00D95A01" w:rsidRDefault="0024178A" w:rsidP="00DC37EC">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107E" w14:textId="77777777" w:rsidR="005343B1" w:rsidRPr="005343B1" w:rsidRDefault="005343B1" w:rsidP="005343B1">
    <w:pPr>
      <w:pStyle w:val="Encabezado"/>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D41"/>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D23D7"/>
    <w:multiLevelType w:val="hybridMultilevel"/>
    <w:tmpl w:val="4066FC4A"/>
    <w:lvl w:ilvl="0" w:tplc="24DC7AFE">
      <w:start w:val="1"/>
      <w:numFmt w:val="decimal"/>
      <w:lvlText w:val="%1."/>
      <w:lvlJc w:val="left"/>
      <w:pPr>
        <w:ind w:left="4897" w:hanging="360"/>
      </w:pPr>
      <w:rPr>
        <w:rFonts w:hint="default"/>
        <w:b/>
        <w:i w:val="0"/>
        <w:iCs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BCD5E8D"/>
    <w:multiLevelType w:val="hybridMultilevel"/>
    <w:tmpl w:val="B2C835B8"/>
    <w:lvl w:ilvl="0" w:tplc="FFFFFFFF">
      <w:start w:val="1"/>
      <w:numFmt w:val="decimal"/>
      <w:lvlText w:val="%1."/>
      <w:lvlJc w:val="left"/>
      <w:pPr>
        <w:ind w:left="1637" w:hanging="360"/>
      </w:pPr>
      <w:rPr>
        <w:rFonts w:hint="default"/>
        <w:i w:val="0"/>
        <w:sz w:val="26"/>
        <w:szCs w:val="26"/>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A14AA"/>
    <w:multiLevelType w:val="hybridMultilevel"/>
    <w:tmpl w:val="16E80284"/>
    <w:lvl w:ilvl="0" w:tplc="DF5EAE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FE7602"/>
    <w:multiLevelType w:val="hybridMultilevel"/>
    <w:tmpl w:val="0C06A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D12816"/>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1401B7"/>
    <w:multiLevelType w:val="hybridMultilevel"/>
    <w:tmpl w:val="F75C212A"/>
    <w:lvl w:ilvl="0" w:tplc="A266C68A">
      <w:start w:val="1"/>
      <w:numFmt w:val="decimal"/>
      <w:lvlText w:val="%1."/>
      <w:lvlJc w:val="left"/>
      <w:pPr>
        <w:ind w:left="928" w:hanging="360"/>
      </w:pPr>
      <w:rPr>
        <w:rFonts w:ascii="Arial" w:hAnsi="Arial" w:cs="Arial" w:hint="default"/>
        <w:b/>
        <w:i w:val="0"/>
        <w:color w:val="auto"/>
        <w:sz w:val="28"/>
        <w:szCs w:val="28"/>
      </w:rPr>
    </w:lvl>
    <w:lvl w:ilvl="1" w:tplc="61D20D84">
      <w:start w:val="1"/>
      <w:numFmt w:val="upperRoman"/>
      <w:lvlText w:val="%2."/>
      <w:lvlJc w:val="left"/>
      <w:pPr>
        <w:ind w:left="1800" w:hanging="720"/>
      </w:pPr>
      <w:rPr>
        <w:rFonts w:ascii="Arial" w:hAnsi="Arial" w:cs="Arial" w:hint="default"/>
        <w:b w:val="0"/>
        <w:bCs/>
      </w:rPr>
    </w:lvl>
    <w:lvl w:ilvl="2" w:tplc="080A001B">
      <w:start w:val="1"/>
      <w:numFmt w:val="lowerRoman"/>
      <w:lvlText w:val="%3."/>
      <w:lvlJc w:val="right"/>
      <w:pPr>
        <w:ind w:left="2340" w:hanging="360"/>
      </w:pPr>
      <w:rPr>
        <w:rFonts w:hint="default"/>
        <w:b/>
        <w:i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235C"/>
    <w:multiLevelType w:val="hybridMultilevel"/>
    <w:tmpl w:val="E0F48F82"/>
    <w:lvl w:ilvl="0" w:tplc="3DEE561C">
      <w:start w:val="7"/>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440D92"/>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837EC5"/>
    <w:multiLevelType w:val="hybridMultilevel"/>
    <w:tmpl w:val="A44A1B94"/>
    <w:lvl w:ilvl="0" w:tplc="1102B672">
      <w:start w:val="1"/>
      <w:numFmt w:val="decimal"/>
      <w:lvlText w:val="%1."/>
      <w:lvlJc w:val="left"/>
      <w:pPr>
        <w:ind w:left="1637" w:hanging="360"/>
      </w:pPr>
      <w:rPr>
        <w:rFonts w:hint="default"/>
        <w:b w:val="0"/>
        <w:bCs/>
        <w:i w:val="0"/>
        <w:sz w:val="22"/>
        <w:szCs w:val="22"/>
        <w:vertAlign w:val="baseline"/>
      </w:rPr>
    </w:lvl>
    <w:lvl w:ilvl="1" w:tplc="51A0D74C">
      <w:start w:val="1"/>
      <w:numFmt w:val="lowerLetter"/>
      <w:lvlText w:val="%2."/>
      <w:lvlJc w:val="left"/>
      <w:pPr>
        <w:ind w:left="1440" w:hanging="360"/>
      </w:pPr>
      <w:rPr>
        <w:b/>
        <w:bCs/>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6F7A9C"/>
    <w:multiLevelType w:val="hybridMultilevel"/>
    <w:tmpl w:val="B2C835B8"/>
    <w:lvl w:ilvl="0" w:tplc="FFFFFFFF">
      <w:start w:val="1"/>
      <w:numFmt w:val="decimal"/>
      <w:lvlText w:val="%1."/>
      <w:lvlJc w:val="left"/>
      <w:pPr>
        <w:ind w:left="1637" w:hanging="360"/>
      </w:pPr>
      <w:rPr>
        <w:rFonts w:hint="default"/>
        <w:i w:val="0"/>
        <w:sz w:val="26"/>
        <w:szCs w:val="26"/>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57AFD"/>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675DA"/>
    <w:multiLevelType w:val="hybridMultilevel"/>
    <w:tmpl w:val="1FDA7030"/>
    <w:lvl w:ilvl="0" w:tplc="75720A6A">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EED498E"/>
    <w:multiLevelType w:val="hybridMultilevel"/>
    <w:tmpl w:val="F1B0A54C"/>
    <w:lvl w:ilvl="0" w:tplc="EC587166">
      <w:start w:val="2"/>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434C5F"/>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8A2E02"/>
    <w:multiLevelType w:val="hybridMultilevel"/>
    <w:tmpl w:val="78409CD4"/>
    <w:lvl w:ilvl="0" w:tplc="12F6EBA4">
      <w:start w:val="1"/>
      <w:numFmt w:val="decimal"/>
      <w:lvlText w:val="%1."/>
      <w:lvlJc w:val="left"/>
      <w:pPr>
        <w:ind w:left="720" w:hanging="360"/>
      </w:pPr>
      <w:rPr>
        <w:rFonts w:ascii="Arial" w:hAnsi="Arial" w:cs="Arial" w:hint="default"/>
        <w:b/>
        <w:i w:val="0"/>
        <w:sz w:val="26"/>
        <w:szCs w:val="2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B333530"/>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EF5765"/>
    <w:multiLevelType w:val="hybridMultilevel"/>
    <w:tmpl w:val="AE7E9C9C"/>
    <w:lvl w:ilvl="0" w:tplc="6BA0639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2A7188E"/>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9F755D"/>
    <w:multiLevelType w:val="hybridMultilevel"/>
    <w:tmpl w:val="6E8E97BA"/>
    <w:lvl w:ilvl="0" w:tplc="3F228E0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4863F1"/>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145EB8"/>
    <w:multiLevelType w:val="hybridMultilevel"/>
    <w:tmpl w:val="250EDC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4067A9"/>
    <w:multiLevelType w:val="hybridMultilevel"/>
    <w:tmpl w:val="7ADCD1F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F940944"/>
    <w:multiLevelType w:val="hybridMultilevel"/>
    <w:tmpl w:val="DA9891A2"/>
    <w:lvl w:ilvl="0" w:tplc="080A000F">
      <w:start w:val="1"/>
      <w:numFmt w:val="decimal"/>
      <w:lvlText w:val="%1."/>
      <w:lvlJc w:val="left"/>
      <w:pPr>
        <w:ind w:left="1919" w:hanging="360"/>
      </w:pPr>
      <w:rPr>
        <w:rFonts w:hint="default"/>
        <w:b w:val="0"/>
        <w:i w:val="0"/>
        <w:sz w:val="26"/>
      </w:rPr>
    </w:lvl>
    <w:lvl w:ilvl="1" w:tplc="080A0001">
      <w:start w:val="1"/>
      <w:numFmt w:val="bullet"/>
      <w:lvlText w:val=""/>
      <w:lvlJc w:val="left"/>
      <w:pPr>
        <w:ind w:left="654" w:hanging="360"/>
      </w:pPr>
      <w:rPr>
        <w:rFonts w:ascii="Symbol" w:hAnsi="Symbol" w:hint="default"/>
        <w:b/>
      </w:rPr>
    </w:lvl>
    <w:lvl w:ilvl="2" w:tplc="080A001B">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25" w15:restartNumberingAfterBreak="0">
    <w:nsid w:val="5FE65459"/>
    <w:multiLevelType w:val="hybridMultilevel"/>
    <w:tmpl w:val="5A42F5BA"/>
    <w:lvl w:ilvl="0" w:tplc="897E1FEA">
      <w:start w:val="1"/>
      <w:numFmt w:val="lowerLetter"/>
      <w:lvlText w:val="%1)"/>
      <w:lvlJc w:val="left"/>
      <w:pPr>
        <w:ind w:left="110" w:hanging="216"/>
      </w:pPr>
      <w:rPr>
        <w:rFonts w:ascii="Arial" w:eastAsia="Arial" w:hAnsi="Arial" w:hint="default"/>
        <w:spacing w:val="-1"/>
        <w:w w:val="101"/>
        <w:sz w:val="18"/>
        <w:szCs w:val="18"/>
      </w:rPr>
    </w:lvl>
    <w:lvl w:ilvl="1" w:tplc="A8F07A9A">
      <w:start w:val="1"/>
      <w:numFmt w:val="bullet"/>
      <w:lvlText w:val="•"/>
      <w:lvlJc w:val="left"/>
      <w:pPr>
        <w:ind w:left="1077" w:hanging="216"/>
      </w:pPr>
      <w:rPr>
        <w:rFonts w:hint="default"/>
      </w:rPr>
    </w:lvl>
    <w:lvl w:ilvl="2" w:tplc="CDFE08EE">
      <w:start w:val="1"/>
      <w:numFmt w:val="bullet"/>
      <w:lvlText w:val="•"/>
      <w:lvlJc w:val="left"/>
      <w:pPr>
        <w:ind w:left="2044" w:hanging="216"/>
      </w:pPr>
      <w:rPr>
        <w:rFonts w:hint="default"/>
      </w:rPr>
    </w:lvl>
    <w:lvl w:ilvl="3" w:tplc="0590AE2E">
      <w:start w:val="1"/>
      <w:numFmt w:val="bullet"/>
      <w:lvlText w:val="•"/>
      <w:lvlJc w:val="left"/>
      <w:pPr>
        <w:ind w:left="3011" w:hanging="216"/>
      </w:pPr>
      <w:rPr>
        <w:rFonts w:hint="default"/>
      </w:rPr>
    </w:lvl>
    <w:lvl w:ilvl="4" w:tplc="C370315A">
      <w:start w:val="1"/>
      <w:numFmt w:val="bullet"/>
      <w:lvlText w:val="•"/>
      <w:lvlJc w:val="left"/>
      <w:pPr>
        <w:ind w:left="3978" w:hanging="216"/>
      </w:pPr>
      <w:rPr>
        <w:rFonts w:hint="default"/>
      </w:rPr>
    </w:lvl>
    <w:lvl w:ilvl="5" w:tplc="A370AA76">
      <w:start w:val="1"/>
      <w:numFmt w:val="bullet"/>
      <w:lvlText w:val="•"/>
      <w:lvlJc w:val="left"/>
      <w:pPr>
        <w:ind w:left="4945" w:hanging="216"/>
      </w:pPr>
      <w:rPr>
        <w:rFonts w:hint="default"/>
      </w:rPr>
    </w:lvl>
    <w:lvl w:ilvl="6" w:tplc="19DC4DB4">
      <w:start w:val="1"/>
      <w:numFmt w:val="bullet"/>
      <w:lvlText w:val="•"/>
      <w:lvlJc w:val="left"/>
      <w:pPr>
        <w:ind w:left="5912" w:hanging="216"/>
      </w:pPr>
      <w:rPr>
        <w:rFonts w:hint="default"/>
      </w:rPr>
    </w:lvl>
    <w:lvl w:ilvl="7" w:tplc="7F987428">
      <w:start w:val="1"/>
      <w:numFmt w:val="bullet"/>
      <w:lvlText w:val="•"/>
      <w:lvlJc w:val="left"/>
      <w:pPr>
        <w:ind w:left="6879" w:hanging="216"/>
      </w:pPr>
      <w:rPr>
        <w:rFonts w:hint="default"/>
      </w:rPr>
    </w:lvl>
    <w:lvl w:ilvl="8" w:tplc="870E8372">
      <w:start w:val="1"/>
      <w:numFmt w:val="bullet"/>
      <w:lvlText w:val="•"/>
      <w:lvlJc w:val="left"/>
      <w:pPr>
        <w:ind w:left="7846" w:hanging="216"/>
      </w:pPr>
      <w:rPr>
        <w:rFonts w:hint="default"/>
      </w:rPr>
    </w:lvl>
  </w:abstractNum>
  <w:abstractNum w:abstractNumId="26"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685AAD"/>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D65F79"/>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713953"/>
    <w:multiLevelType w:val="hybridMultilevel"/>
    <w:tmpl w:val="B3461D40"/>
    <w:lvl w:ilvl="0" w:tplc="A5B82564">
      <w:start w:val="1"/>
      <w:numFmt w:val="decimal"/>
      <w:lvlText w:val="%1."/>
      <w:lvlJc w:val="left"/>
      <w:pPr>
        <w:ind w:left="720" w:hanging="360"/>
      </w:pPr>
      <w:rPr>
        <w:rFonts w:hint="default"/>
        <w:b w:val="0"/>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FA2A97"/>
    <w:multiLevelType w:val="hybridMultilevel"/>
    <w:tmpl w:val="28D030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EA66C5"/>
    <w:multiLevelType w:val="hybridMultilevel"/>
    <w:tmpl w:val="1F1A7288"/>
    <w:lvl w:ilvl="0" w:tplc="564C233C">
      <w:start w:val="1"/>
      <w:numFmt w:val="decimal"/>
      <w:lvlText w:val="%1."/>
      <w:lvlJc w:val="left"/>
      <w:pPr>
        <w:ind w:left="720" w:hanging="360"/>
      </w:pPr>
      <w:rPr>
        <w:rFonts w:hint="default"/>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307E74"/>
    <w:multiLevelType w:val="hybridMultilevel"/>
    <w:tmpl w:val="B6E29728"/>
    <w:lvl w:ilvl="0" w:tplc="4E92C440">
      <w:start w:val="1"/>
      <w:numFmt w:val="upperLetter"/>
      <w:lvlText w:val="%1."/>
      <w:lvlJc w:val="left"/>
      <w:pPr>
        <w:ind w:left="720" w:hanging="360"/>
      </w:pPr>
      <w:rPr>
        <w:rFonts w:ascii="Arial" w:eastAsiaTheme="minorHAnsi" w:hAnsi="Arial" w:cs="Arial"/>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D74B25"/>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8D135D"/>
    <w:multiLevelType w:val="hybridMultilevel"/>
    <w:tmpl w:val="44668CD4"/>
    <w:lvl w:ilvl="0" w:tplc="FFFFFFFF">
      <w:start w:val="1"/>
      <w:numFmt w:val="decimal"/>
      <w:lvlText w:val="%1."/>
      <w:lvlJc w:val="left"/>
      <w:pPr>
        <w:ind w:left="1637" w:hanging="360"/>
      </w:pPr>
      <w:rPr>
        <w:rFonts w:hint="default"/>
        <w:b w:val="0"/>
        <w:bCs/>
        <w:i w:val="0"/>
        <w:sz w:val="22"/>
        <w:szCs w:val="22"/>
        <w:vertAlign w:val="baseli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5017200">
    <w:abstractNumId w:val="26"/>
  </w:num>
  <w:num w:numId="2" w16cid:durableId="992101838">
    <w:abstractNumId w:val="20"/>
  </w:num>
  <w:num w:numId="3" w16cid:durableId="1058553676">
    <w:abstractNumId w:val="7"/>
  </w:num>
  <w:num w:numId="4" w16cid:durableId="1068960184">
    <w:abstractNumId w:val="4"/>
  </w:num>
  <w:num w:numId="5" w16cid:durableId="473765154">
    <w:abstractNumId w:val="23"/>
  </w:num>
  <w:num w:numId="6" w16cid:durableId="1644191985">
    <w:abstractNumId w:val="9"/>
  </w:num>
  <w:num w:numId="7" w16cid:durableId="1886336117">
    <w:abstractNumId w:val="22"/>
  </w:num>
  <w:num w:numId="8" w16cid:durableId="441848292">
    <w:abstractNumId w:val="2"/>
  </w:num>
  <w:num w:numId="9" w16cid:durableId="1978411483">
    <w:abstractNumId w:val="10"/>
  </w:num>
  <w:num w:numId="10" w16cid:durableId="608583495">
    <w:abstractNumId w:val="17"/>
  </w:num>
  <w:num w:numId="11" w16cid:durableId="612399540">
    <w:abstractNumId w:val="31"/>
  </w:num>
  <w:num w:numId="12" w16cid:durableId="1040132635">
    <w:abstractNumId w:val="6"/>
  </w:num>
  <w:num w:numId="13" w16cid:durableId="1514760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6107272">
    <w:abstractNumId w:val="12"/>
  </w:num>
  <w:num w:numId="15" w16cid:durableId="1083263044">
    <w:abstractNumId w:val="24"/>
  </w:num>
  <w:num w:numId="16" w16cid:durableId="328993506">
    <w:abstractNumId w:val="30"/>
  </w:num>
  <w:num w:numId="17" w16cid:durableId="180826884">
    <w:abstractNumId w:val="1"/>
  </w:num>
  <w:num w:numId="18" w16cid:durableId="1668171928">
    <w:abstractNumId w:val="25"/>
  </w:num>
  <w:num w:numId="19" w16cid:durableId="625355738">
    <w:abstractNumId w:val="19"/>
  </w:num>
  <w:num w:numId="20" w16cid:durableId="613102807">
    <w:abstractNumId w:val="3"/>
  </w:num>
  <w:num w:numId="21" w16cid:durableId="1467895567">
    <w:abstractNumId w:val="29"/>
  </w:num>
  <w:num w:numId="22" w16cid:durableId="2081099235">
    <w:abstractNumId w:val="32"/>
  </w:num>
  <w:num w:numId="23" w16cid:durableId="2091998752">
    <w:abstractNumId w:val="28"/>
  </w:num>
  <w:num w:numId="24" w16cid:durableId="1062942599">
    <w:abstractNumId w:val="8"/>
  </w:num>
  <w:num w:numId="25" w16cid:durableId="1062095546">
    <w:abstractNumId w:val="18"/>
  </w:num>
  <w:num w:numId="26" w16cid:durableId="764158429">
    <w:abstractNumId w:val="14"/>
  </w:num>
  <w:num w:numId="27" w16cid:durableId="1058669507">
    <w:abstractNumId w:val="16"/>
  </w:num>
  <w:num w:numId="28" w16cid:durableId="4094501">
    <w:abstractNumId w:val="5"/>
  </w:num>
  <w:num w:numId="29" w16cid:durableId="7097487">
    <w:abstractNumId w:val="34"/>
  </w:num>
  <w:num w:numId="30" w16cid:durableId="564098679">
    <w:abstractNumId w:val="0"/>
  </w:num>
  <w:num w:numId="31" w16cid:durableId="4525510">
    <w:abstractNumId w:val="33"/>
  </w:num>
  <w:num w:numId="32" w16cid:durableId="1691644728">
    <w:abstractNumId w:val="27"/>
  </w:num>
  <w:num w:numId="33" w16cid:durableId="197163824">
    <w:abstractNumId w:val="11"/>
  </w:num>
  <w:num w:numId="34" w16cid:durableId="1894808583">
    <w:abstractNumId w:val="21"/>
  </w:num>
  <w:num w:numId="35" w16cid:durableId="19486594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76"/>
    <w:rsid w:val="0000072F"/>
    <w:rsid w:val="00005D89"/>
    <w:rsid w:val="00006D39"/>
    <w:rsid w:val="000123E2"/>
    <w:rsid w:val="000129C1"/>
    <w:rsid w:val="0001367B"/>
    <w:rsid w:val="000205D2"/>
    <w:rsid w:val="000207C1"/>
    <w:rsid w:val="000207DD"/>
    <w:rsid w:val="00020FAA"/>
    <w:rsid w:val="000216E5"/>
    <w:rsid w:val="00021AE7"/>
    <w:rsid w:val="00021DE1"/>
    <w:rsid w:val="00023C6C"/>
    <w:rsid w:val="0002508D"/>
    <w:rsid w:val="00025855"/>
    <w:rsid w:val="00027191"/>
    <w:rsid w:val="0003064F"/>
    <w:rsid w:val="00030E1A"/>
    <w:rsid w:val="00030FC1"/>
    <w:rsid w:val="00031591"/>
    <w:rsid w:val="00031C20"/>
    <w:rsid w:val="00032297"/>
    <w:rsid w:val="0003367D"/>
    <w:rsid w:val="00033D82"/>
    <w:rsid w:val="00034D95"/>
    <w:rsid w:val="00036019"/>
    <w:rsid w:val="00037187"/>
    <w:rsid w:val="0004061C"/>
    <w:rsid w:val="00041BC8"/>
    <w:rsid w:val="00041F00"/>
    <w:rsid w:val="00044534"/>
    <w:rsid w:val="0004603C"/>
    <w:rsid w:val="0005087E"/>
    <w:rsid w:val="00050A5C"/>
    <w:rsid w:val="00051871"/>
    <w:rsid w:val="00055803"/>
    <w:rsid w:val="00055963"/>
    <w:rsid w:val="000563FF"/>
    <w:rsid w:val="00061252"/>
    <w:rsid w:val="00061589"/>
    <w:rsid w:val="00062068"/>
    <w:rsid w:val="000628B1"/>
    <w:rsid w:val="00066E35"/>
    <w:rsid w:val="00070F8A"/>
    <w:rsid w:val="00074493"/>
    <w:rsid w:val="00076735"/>
    <w:rsid w:val="000804CF"/>
    <w:rsid w:val="000813D7"/>
    <w:rsid w:val="00081830"/>
    <w:rsid w:val="000824F0"/>
    <w:rsid w:val="0008383B"/>
    <w:rsid w:val="00086B64"/>
    <w:rsid w:val="00087E4E"/>
    <w:rsid w:val="0009676B"/>
    <w:rsid w:val="000A11F3"/>
    <w:rsid w:val="000A2ABE"/>
    <w:rsid w:val="000A3837"/>
    <w:rsid w:val="000A61D5"/>
    <w:rsid w:val="000A7E5E"/>
    <w:rsid w:val="000B04B6"/>
    <w:rsid w:val="000B13AD"/>
    <w:rsid w:val="000B22AC"/>
    <w:rsid w:val="000B3E13"/>
    <w:rsid w:val="000B5C5A"/>
    <w:rsid w:val="000B7AC0"/>
    <w:rsid w:val="000B7F9F"/>
    <w:rsid w:val="000C2846"/>
    <w:rsid w:val="000C3DFC"/>
    <w:rsid w:val="000C4C90"/>
    <w:rsid w:val="000C51DF"/>
    <w:rsid w:val="000C6DC3"/>
    <w:rsid w:val="000C71AF"/>
    <w:rsid w:val="000C7D50"/>
    <w:rsid w:val="000C7DAC"/>
    <w:rsid w:val="000D095E"/>
    <w:rsid w:val="000D0DB8"/>
    <w:rsid w:val="000D2413"/>
    <w:rsid w:val="000D2B64"/>
    <w:rsid w:val="000D5277"/>
    <w:rsid w:val="000D589B"/>
    <w:rsid w:val="000D5A45"/>
    <w:rsid w:val="000D5C1E"/>
    <w:rsid w:val="000E05CA"/>
    <w:rsid w:val="000E0AE5"/>
    <w:rsid w:val="000E0C9C"/>
    <w:rsid w:val="000E1DDD"/>
    <w:rsid w:val="000E4944"/>
    <w:rsid w:val="000E5552"/>
    <w:rsid w:val="000E761F"/>
    <w:rsid w:val="000F2ADB"/>
    <w:rsid w:val="000F2CFD"/>
    <w:rsid w:val="000F48E8"/>
    <w:rsid w:val="000F5317"/>
    <w:rsid w:val="000F580F"/>
    <w:rsid w:val="000F596C"/>
    <w:rsid w:val="000F6315"/>
    <w:rsid w:val="000F6321"/>
    <w:rsid w:val="000F6CF7"/>
    <w:rsid w:val="000F7685"/>
    <w:rsid w:val="0010005F"/>
    <w:rsid w:val="00101925"/>
    <w:rsid w:val="0010343F"/>
    <w:rsid w:val="00103F97"/>
    <w:rsid w:val="00106098"/>
    <w:rsid w:val="00107BAD"/>
    <w:rsid w:val="00110278"/>
    <w:rsid w:val="00110D48"/>
    <w:rsid w:val="0011193C"/>
    <w:rsid w:val="001124E6"/>
    <w:rsid w:val="0011250D"/>
    <w:rsid w:val="0011620E"/>
    <w:rsid w:val="0011754C"/>
    <w:rsid w:val="00117DAA"/>
    <w:rsid w:val="001206BB"/>
    <w:rsid w:val="001253FD"/>
    <w:rsid w:val="00126D67"/>
    <w:rsid w:val="00130CE3"/>
    <w:rsid w:val="00130E29"/>
    <w:rsid w:val="00130F2D"/>
    <w:rsid w:val="00131714"/>
    <w:rsid w:val="00132E9B"/>
    <w:rsid w:val="001332A8"/>
    <w:rsid w:val="00136015"/>
    <w:rsid w:val="00136127"/>
    <w:rsid w:val="00136E0E"/>
    <w:rsid w:val="00137A2D"/>
    <w:rsid w:val="00141036"/>
    <w:rsid w:val="001410B3"/>
    <w:rsid w:val="001508DB"/>
    <w:rsid w:val="00152BBE"/>
    <w:rsid w:val="00154D96"/>
    <w:rsid w:val="00155576"/>
    <w:rsid w:val="00155EB1"/>
    <w:rsid w:val="00156AC4"/>
    <w:rsid w:val="001613A0"/>
    <w:rsid w:val="00161F5C"/>
    <w:rsid w:val="00163AA2"/>
    <w:rsid w:val="00165DFC"/>
    <w:rsid w:val="001661D3"/>
    <w:rsid w:val="001662A4"/>
    <w:rsid w:val="0016693F"/>
    <w:rsid w:val="00171E85"/>
    <w:rsid w:val="00172B7B"/>
    <w:rsid w:val="0017408F"/>
    <w:rsid w:val="001747CC"/>
    <w:rsid w:val="00175BCA"/>
    <w:rsid w:val="00175D2C"/>
    <w:rsid w:val="001760ED"/>
    <w:rsid w:val="00176C19"/>
    <w:rsid w:val="00176FBC"/>
    <w:rsid w:val="00180719"/>
    <w:rsid w:val="00182382"/>
    <w:rsid w:val="001831BA"/>
    <w:rsid w:val="00184677"/>
    <w:rsid w:val="0018498E"/>
    <w:rsid w:val="001854ED"/>
    <w:rsid w:val="00191B93"/>
    <w:rsid w:val="00193A8E"/>
    <w:rsid w:val="001A18C3"/>
    <w:rsid w:val="001A3936"/>
    <w:rsid w:val="001A3DEE"/>
    <w:rsid w:val="001A7280"/>
    <w:rsid w:val="001A770F"/>
    <w:rsid w:val="001A7E6C"/>
    <w:rsid w:val="001B1815"/>
    <w:rsid w:val="001B23D7"/>
    <w:rsid w:val="001B3A73"/>
    <w:rsid w:val="001B3DA7"/>
    <w:rsid w:val="001B671A"/>
    <w:rsid w:val="001B67BD"/>
    <w:rsid w:val="001C027F"/>
    <w:rsid w:val="001C4354"/>
    <w:rsid w:val="001C5DAB"/>
    <w:rsid w:val="001C6763"/>
    <w:rsid w:val="001C6C8E"/>
    <w:rsid w:val="001D005C"/>
    <w:rsid w:val="001D0386"/>
    <w:rsid w:val="001D2BB6"/>
    <w:rsid w:val="001D4328"/>
    <w:rsid w:val="001D6844"/>
    <w:rsid w:val="001D6C41"/>
    <w:rsid w:val="001E0CFB"/>
    <w:rsid w:val="001E1A94"/>
    <w:rsid w:val="001E1EAE"/>
    <w:rsid w:val="001E36EB"/>
    <w:rsid w:val="001E3B98"/>
    <w:rsid w:val="001E3BC7"/>
    <w:rsid w:val="001E3E8B"/>
    <w:rsid w:val="001E3F8E"/>
    <w:rsid w:val="001E4213"/>
    <w:rsid w:val="001E74DD"/>
    <w:rsid w:val="001F0C2B"/>
    <w:rsid w:val="001F36A7"/>
    <w:rsid w:val="001F42EC"/>
    <w:rsid w:val="001F7CA6"/>
    <w:rsid w:val="0020252B"/>
    <w:rsid w:val="00203D5B"/>
    <w:rsid w:val="00204373"/>
    <w:rsid w:val="00204ABB"/>
    <w:rsid w:val="00205C7F"/>
    <w:rsid w:val="00212E90"/>
    <w:rsid w:val="0021478F"/>
    <w:rsid w:val="00215A0B"/>
    <w:rsid w:val="0022044B"/>
    <w:rsid w:val="00221699"/>
    <w:rsid w:val="00221961"/>
    <w:rsid w:val="00222C50"/>
    <w:rsid w:val="00223ECA"/>
    <w:rsid w:val="002253DD"/>
    <w:rsid w:val="0022684D"/>
    <w:rsid w:val="002279CD"/>
    <w:rsid w:val="00231C02"/>
    <w:rsid w:val="002342D7"/>
    <w:rsid w:val="002350AB"/>
    <w:rsid w:val="0023606B"/>
    <w:rsid w:val="002363BC"/>
    <w:rsid w:val="00236FB3"/>
    <w:rsid w:val="00237CE3"/>
    <w:rsid w:val="0024132D"/>
    <w:rsid w:val="0024178A"/>
    <w:rsid w:val="00244364"/>
    <w:rsid w:val="002469FA"/>
    <w:rsid w:val="00250060"/>
    <w:rsid w:val="00250E64"/>
    <w:rsid w:val="00251440"/>
    <w:rsid w:val="00251921"/>
    <w:rsid w:val="00251F6D"/>
    <w:rsid w:val="0025259E"/>
    <w:rsid w:val="00254731"/>
    <w:rsid w:val="00256540"/>
    <w:rsid w:val="0025755D"/>
    <w:rsid w:val="00257EAB"/>
    <w:rsid w:val="00263182"/>
    <w:rsid w:val="00263770"/>
    <w:rsid w:val="00263B2F"/>
    <w:rsid w:val="00264368"/>
    <w:rsid w:val="00270145"/>
    <w:rsid w:val="002726BA"/>
    <w:rsid w:val="00272B0D"/>
    <w:rsid w:val="002739A4"/>
    <w:rsid w:val="00273EB5"/>
    <w:rsid w:val="00273F99"/>
    <w:rsid w:val="0027448A"/>
    <w:rsid w:val="002759B2"/>
    <w:rsid w:val="00276196"/>
    <w:rsid w:val="00277AE7"/>
    <w:rsid w:val="00280744"/>
    <w:rsid w:val="00280C66"/>
    <w:rsid w:val="002812A6"/>
    <w:rsid w:val="002817F7"/>
    <w:rsid w:val="00281C90"/>
    <w:rsid w:val="00283813"/>
    <w:rsid w:val="00283F5D"/>
    <w:rsid w:val="0028442A"/>
    <w:rsid w:val="00284495"/>
    <w:rsid w:val="0028459D"/>
    <w:rsid w:val="00285966"/>
    <w:rsid w:val="00286399"/>
    <w:rsid w:val="00291B75"/>
    <w:rsid w:val="00293F6A"/>
    <w:rsid w:val="00294DD5"/>
    <w:rsid w:val="0029591A"/>
    <w:rsid w:val="002A0582"/>
    <w:rsid w:val="002A1B50"/>
    <w:rsid w:val="002A2168"/>
    <w:rsid w:val="002A347E"/>
    <w:rsid w:val="002A5910"/>
    <w:rsid w:val="002A668A"/>
    <w:rsid w:val="002A756A"/>
    <w:rsid w:val="002A7D93"/>
    <w:rsid w:val="002B0C8C"/>
    <w:rsid w:val="002B1B96"/>
    <w:rsid w:val="002B1FF0"/>
    <w:rsid w:val="002B548C"/>
    <w:rsid w:val="002B76E6"/>
    <w:rsid w:val="002C06D6"/>
    <w:rsid w:val="002C0B05"/>
    <w:rsid w:val="002C2765"/>
    <w:rsid w:val="002C5673"/>
    <w:rsid w:val="002C58C4"/>
    <w:rsid w:val="002C63F2"/>
    <w:rsid w:val="002C6B12"/>
    <w:rsid w:val="002D1DDF"/>
    <w:rsid w:val="002D1E61"/>
    <w:rsid w:val="002D2CD7"/>
    <w:rsid w:val="002D2D44"/>
    <w:rsid w:val="002D6D80"/>
    <w:rsid w:val="002E01DF"/>
    <w:rsid w:val="002E37D1"/>
    <w:rsid w:val="002E499C"/>
    <w:rsid w:val="002E55E4"/>
    <w:rsid w:val="002E6E88"/>
    <w:rsid w:val="002F1F1A"/>
    <w:rsid w:val="002F2365"/>
    <w:rsid w:val="002F2604"/>
    <w:rsid w:val="002F2A3E"/>
    <w:rsid w:val="002F2F79"/>
    <w:rsid w:val="0030012B"/>
    <w:rsid w:val="00300C99"/>
    <w:rsid w:val="003013BC"/>
    <w:rsid w:val="0030182A"/>
    <w:rsid w:val="00303F21"/>
    <w:rsid w:val="00305B6E"/>
    <w:rsid w:val="00306F45"/>
    <w:rsid w:val="003117D7"/>
    <w:rsid w:val="0031189F"/>
    <w:rsid w:val="00312F56"/>
    <w:rsid w:val="00315475"/>
    <w:rsid w:val="00322517"/>
    <w:rsid w:val="00324F12"/>
    <w:rsid w:val="003252ED"/>
    <w:rsid w:val="00325B16"/>
    <w:rsid w:val="003269DF"/>
    <w:rsid w:val="00330F0D"/>
    <w:rsid w:val="0033223E"/>
    <w:rsid w:val="003329DF"/>
    <w:rsid w:val="00332A3D"/>
    <w:rsid w:val="0033499C"/>
    <w:rsid w:val="00334A02"/>
    <w:rsid w:val="00334FF3"/>
    <w:rsid w:val="0033528A"/>
    <w:rsid w:val="003373C2"/>
    <w:rsid w:val="003408C2"/>
    <w:rsid w:val="00342507"/>
    <w:rsid w:val="00342FBD"/>
    <w:rsid w:val="00343996"/>
    <w:rsid w:val="003447F0"/>
    <w:rsid w:val="00344D83"/>
    <w:rsid w:val="00344FB8"/>
    <w:rsid w:val="00347697"/>
    <w:rsid w:val="00350656"/>
    <w:rsid w:val="00365DDB"/>
    <w:rsid w:val="0036669B"/>
    <w:rsid w:val="00366947"/>
    <w:rsid w:val="00367915"/>
    <w:rsid w:val="00370E69"/>
    <w:rsid w:val="00371CE0"/>
    <w:rsid w:val="003728C2"/>
    <w:rsid w:val="00374FF7"/>
    <w:rsid w:val="003767ED"/>
    <w:rsid w:val="0037743D"/>
    <w:rsid w:val="0038073D"/>
    <w:rsid w:val="003815BC"/>
    <w:rsid w:val="00382E75"/>
    <w:rsid w:val="003863D9"/>
    <w:rsid w:val="00392591"/>
    <w:rsid w:val="00392DA1"/>
    <w:rsid w:val="00393738"/>
    <w:rsid w:val="00395229"/>
    <w:rsid w:val="003976AC"/>
    <w:rsid w:val="003A2B05"/>
    <w:rsid w:val="003A4054"/>
    <w:rsid w:val="003A55D2"/>
    <w:rsid w:val="003A592C"/>
    <w:rsid w:val="003B02D1"/>
    <w:rsid w:val="003B15E1"/>
    <w:rsid w:val="003B18AA"/>
    <w:rsid w:val="003B1AFB"/>
    <w:rsid w:val="003B1C41"/>
    <w:rsid w:val="003B20E6"/>
    <w:rsid w:val="003B3527"/>
    <w:rsid w:val="003C0739"/>
    <w:rsid w:val="003C0B77"/>
    <w:rsid w:val="003C113F"/>
    <w:rsid w:val="003C1176"/>
    <w:rsid w:val="003C2FA9"/>
    <w:rsid w:val="003C43C6"/>
    <w:rsid w:val="003C51EC"/>
    <w:rsid w:val="003C68D6"/>
    <w:rsid w:val="003C7AFE"/>
    <w:rsid w:val="003D4221"/>
    <w:rsid w:val="003D4ABB"/>
    <w:rsid w:val="003D4D31"/>
    <w:rsid w:val="003D7A5E"/>
    <w:rsid w:val="003D7EF7"/>
    <w:rsid w:val="003E38D2"/>
    <w:rsid w:val="003E3ECA"/>
    <w:rsid w:val="003E6F04"/>
    <w:rsid w:val="003E7A03"/>
    <w:rsid w:val="003F0A26"/>
    <w:rsid w:val="003F2D5F"/>
    <w:rsid w:val="003F30E4"/>
    <w:rsid w:val="003F31AB"/>
    <w:rsid w:val="003F3853"/>
    <w:rsid w:val="003F484E"/>
    <w:rsid w:val="003F7376"/>
    <w:rsid w:val="003F7E67"/>
    <w:rsid w:val="00400885"/>
    <w:rsid w:val="00400F53"/>
    <w:rsid w:val="00401322"/>
    <w:rsid w:val="00402218"/>
    <w:rsid w:val="004024DA"/>
    <w:rsid w:val="00402E73"/>
    <w:rsid w:val="0040434B"/>
    <w:rsid w:val="00406E13"/>
    <w:rsid w:val="00406F86"/>
    <w:rsid w:val="004111BB"/>
    <w:rsid w:val="00413012"/>
    <w:rsid w:val="00413064"/>
    <w:rsid w:val="004135E2"/>
    <w:rsid w:val="00413F4D"/>
    <w:rsid w:val="00414D6F"/>
    <w:rsid w:val="004169DE"/>
    <w:rsid w:val="004176CE"/>
    <w:rsid w:val="0042091F"/>
    <w:rsid w:val="00420A2C"/>
    <w:rsid w:val="00421810"/>
    <w:rsid w:val="004219CB"/>
    <w:rsid w:val="00421A79"/>
    <w:rsid w:val="00426779"/>
    <w:rsid w:val="004279F3"/>
    <w:rsid w:val="004315B8"/>
    <w:rsid w:val="004324FD"/>
    <w:rsid w:val="00433B4E"/>
    <w:rsid w:val="00433DB5"/>
    <w:rsid w:val="0043405F"/>
    <w:rsid w:val="0043513B"/>
    <w:rsid w:val="0043757C"/>
    <w:rsid w:val="00440A52"/>
    <w:rsid w:val="004428A2"/>
    <w:rsid w:val="00443BEA"/>
    <w:rsid w:val="004458B3"/>
    <w:rsid w:val="004464DD"/>
    <w:rsid w:val="00447156"/>
    <w:rsid w:val="00447596"/>
    <w:rsid w:val="00447888"/>
    <w:rsid w:val="00447BC2"/>
    <w:rsid w:val="004531E9"/>
    <w:rsid w:val="004535FC"/>
    <w:rsid w:val="0045510B"/>
    <w:rsid w:val="00456BBB"/>
    <w:rsid w:val="00460DA0"/>
    <w:rsid w:val="00462B26"/>
    <w:rsid w:val="004635CF"/>
    <w:rsid w:val="00463CF2"/>
    <w:rsid w:val="00463FEA"/>
    <w:rsid w:val="004667A9"/>
    <w:rsid w:val="00466D33"/>
    <w:rsid w:val="00467847"/>
    <w:rsid w:val="0047035D"/>
    <w:rsid w:val="004719AC"/>
    <w:rsid w:val="00472A60"/>
    <w:rsid w:val="004734E3"/>
    <w:rsid w:val="00480AA0"/>
    <w:rsid w:val="004814A0"/>
    <w:rsid w:val="004848D4"/>
    <w:rsid w:val="004872C1"/>
    <w:rsid w:val="004913F8"/>
    <w:rsid w:val="004924CF"/>
    <w:rsid w:val="00493803"/>
    <w:rsid w:val="00494330"/>
    <w:rsid w:val="00494E49"/>
    <w:rsid w:val="00495D41"/>
    <w:rsid w:val="00496152"/>
    <w:rsid w:val="00496606"/>
    <w:rsid w:val="00496DC9"/>
    <w:rsid w:val="00497F88"/>
    <w:rsid w:val="004A0918"/>
    <w:rsid w:val="004A16D3"/>
    <w:rsid w:val="004A2705"/>
    <w:rsid w:val="004A3C78"/>
    <w:rsid w:val="004A47B8"/>
    <w:rsid w:val="004A55A1"/>
    <w:rsid w:val="004B0537"/>
    <w:rsid w:val="004B0CED"/>
    <w:rsid w:val="004B0FA0"/>
    <w:rsid w:val="004B6316"/>
    <w:rsid w:val="004B7312"/>
    <w:rsid w:val="004C0351"/>
    <w:rsid w:val="004C1176"/>
    <w:rsid w:val="004C2026"/>
    <w:rsid w:val="004C2256"/>
    <w:rsid w:val="004C26C6"/>
    <w:rsid w:val="004C39AC"/>
    <w:rsid w:val="004C4B0F"/>
    <w:rsid w:val="004C7645"/>
    <w:rsid w:val="004C789E"/>
    <w:rsid w:val="004C78EF"/>
    <w:rsid w:val="004D2BD5"/>
    <w:rsid w:val="004D3DFB"/>
    <w:rsid w:val="004D4D72"/>
    <w:rsid w:val="004D5E34"/>
    <w:rsid w:val="004D7032"/>
    <w:rsid w:val="004D733F"/>
    <w:rsid w:val="004E1746"/>
    <w:rsid w:val="004E26E9"/>
    <w:rsid w:val="004E34C0"/>
    <w:rsid w:val="004E3757"/>
    <w:rsid w:val="004E3A3D"/>
    <w:rsid w:val="004E68BC"/>
    <w:rsid w:val="004E69BC"/>
    <w:rsid w:val="004E6C21"/>
    <w:rsid w:val="004E7E42"/>
    <w:rsid w:val="004F16C9"/>
    <w:rsid w:val="004F4F55"/>
    <w:rsid w:val="004F54ED"/>
    <w:rsid w:val="004F5CE1"/>
    <w:rsid w:val="004F61A9"/>
    <w:rsid w:val="004F6A63"/>
    <w:rsid w:val="004F7F25"/>
    <w:rsid w:val="00501D6E"/>
    <w:rsid w:val="0050345F"/>
    <w:rsid w:val="005056C0"/>
    <w:rsid w:val="0050662E"/>
    <w:rsid w:val="0050669B"/>
    <w:rsid w:val="005111AC"/>
    <w:rsid w:val="00511795"/>
    <w:rsid w:val="00512E20"/>
    <w:rsid w:val="005155EB"/>
    <w:rsid w:val="00516215"/>
    <w:rsid w:val="00516E62"/>
    <w:rsid w:val="00517AD4"/>
    <w:rsid w:val="00520F7A"/>
    <w:rsid w:val="00521A9C"/>
    <w:rsid w:val="00521DFB"/>
    <w:rsid w:val="005220EE"/>
    <w:rsid w:val="00522D17"/>
    <w:rsid w:val="005241F7"/>
    <w:rsid w:val="00525A3F"/>
    <w:rsid w:val="00526D07"/>
    <w:rsid w:val="005271A3"/>
    <w:rsid w:val="00530CC2"/>
    <w:rsid w:val="005326DD"/>
    <w:rsid w:val="005329C3"/>
    <w:rsid w:val="0053306F"/>
    <w:rsid w:val="005343B1"/>
    <w:rsid w:val="00534B37"/>
    <w:rsid w:val="00534BEF"/>
    <w:rsid w:val="00540800"/>
    <w:rsid w:val="0054291B"/>
    <w:rsid w:val="005453F1"/>
    <w:rsid w:val="0054609E"/>
    <w:rsid w:val="00547750"/>
    <w:rsid w:val="005479E4"/>
    <w:rsid w:val="00552C43"/>
    <w:rsid w:val="00553DF7"/>
    <w:rsid w:val="00556A71"/>
    <w:rsid w:val="00556AFF"/>
    <w:rsid w:val="005575B2"/>
    <w:rsid w:val="005577BF"/>
    <w:rsid w:val="00557E22"/>
    <w:rsid w:val="00560777"/>
    <w:rsid w:val="00562030"/>
    <w:rsid w:val="00562130"/>
    <w:rsid w:val="0056368C"/>
    <w:rsid w:val="00564286"/>
    <w:rsid w:val="005647F9"/>
    <w:rsid w:val="005660FB"/>
    <w:rsid w:val="00567200"/>
    <w:rsid w:val="00570D1E"/>
    <w:rsid w:val="005745B0"/>
    <w:rsid w:val="0057527C"/>
    <w:rsid w:val="005756A0"/>
    <w:rsid w:val="0057623D"/>
    <w:rsid w:val="005765C9"/>
    <w:rsid w:val="00577341"/>
    <w:rsid w:val="00580170"/>
    <w:rsid w:val="00582988"/>
    <w:rsid w:val="00583883"/>
    <w:rsid w:val="005842B7"/>
    <w:rsid w:val="00584C0D"/>
    <w:rsid w:val="00584CBC"/>
    <w:rsid w:val="00585359"/>
    <w:rsid w:val="00585BF6"/>
    <w:rsid w:val="00585CAB"/>
    <w:rsid w:val="00592985"/>
    <w:rsid w:val="00592EFD"/>
    <w:rsid w:val="005932A8"/>
    <w:rsid w:val="005945CC"/>
    <w:rsid w:val="00594CA5"/>
    <w:rsid w:val="00595A54"/>
    <w:rsid w:val="00596278"/>
    <w:rsid w:val="0059627C"/>
    <w:rsid w:val="005A35F6"/>
    <w:rsid w:val="005A5590"/>
    <w:rsid w:val="005A7C96"/>
    <w:rsid w:val="005B28C0"/>
    <w:rsid w:val="005B2A7A"/>
    <w:rsid w:val="005B35A1"/>
    <w:rsid w:val="005B3BD0"/>
    <w:rsid w:val="005B436E"/>
    <w:rsid w:val="005B4595"/>
    <w:rsid w:val="005B5DCE"/>
    <w:rsid w:val="005B6C98"/>
    <w:rsid w:val="005C2337"/>
    <w:rsid w:val="005C2C2B"/>
    <w:rsid w:val="005C3109"/>
    <w:rsid w:val="005C3B17"/>
    <w:rsid w:val="005C3E4A"/>
    <w:rsid w:val="005C6DAB"/>
    <w:rsid w:val="005D09B4"/>
    <w:rsid w:val="005D0ADE"/>
    <w:rsid w:val="005D18F2"/>
    <w:rsid w:val="005D3306"/>
    <w:rsid w:val="005D42BD"/>
    <w:rsid w:val="005D46FD"/>
    <w:rsid w:val="005D4F0B"/>
    <w:rsid w:val="005D65A6"/>
    <w:rsid w:val="005D72A5"/>
    <w:rsid w:val="005E041F"/>
    <w:rsid w:val="005E11D3"/>
    <w:rsid w:val="005E246B"/>
    <w:rsid w:val="005E3588"/>
    <w:rsid w:val="005E4E81"/>
    <w:rsid w:val="005F09FB"/>
    <w:rsid w:val="005F1685"/>
    <w:rsid w:val="005F1EBE"/>
    <w:rsid w:val="005F25DB"/>
    <w:rsid w:val="005F2600"/>
    <w:rsid w:val="005F2652"/>
    <w:rsid w:val="005F38F2"/>
    <w:rsid w:val="005F555D"/>
    <w:rsid w:val="005F6C3C"/>
    <w:rsid w:val="006003D8"/>
    <w:rsid w:val="00600C89"/>
    <w:rsid w:val="006107E5"/>
    <w:rsid w:val="00610ADB"/>
    <w:rsid w:val="006121AE"/>
    <w:rsid w:val="00613823"/>
    <w:rsid w:val="006153E3"/>
    <w:rsid w:val="00615E40"/>
    <w:rsid w:val="00620585"/>
    <w:rsid w:val="0062113B"/>
    <w:rsid w:val="0062234E"/>
    <w:rsid w:val="006226F6"/>
    <w:rsid w:val="006228C5"/>
    <w:rsid w:val="0062332F"/>
    <w:rsid w:val="00626264"/>
    <w:rsid w:val="00626889"/>
    <w:rsid w:val="00626A92"/>
    <w:rsid w:val="006272E8"/>
    <w:rsid w:val="00630AC9"/>
    <w:rsid w:val="00632201"/>
    <w:rsid w:val="00632E08"/>
    <w:rsid w:val="006334F4"/>
    <w:rsid w:val="00640CDC"/>
    <w:rsid w:val="00641CFC"/>
    <w:rsid w:val="00642260"/>
    <w:rsid w:val="0064270E"/>
    <w:rsid w:val="006441BE"/>
    <w:rsid w:val="00644500"/>
    <w:rsid w:val="00644776"/>
    <w:rsid w:val="00645840"/>
    <w:rsid w:val="00645C22"/>
    <w:rsid w:val="00646A18"/>
    <w:rsid w:val="00647101"/>
    <w:rsid w:val="00650A32"/>
    <w:rsid w:val="00653361"/>
    <w:rsid w:val="006549CB"/>
    <w:rsid w:val="00661182"/>
    <w:rsid w:val="00662B76"/>
    <w:rsid w:val="0066473A"/>
    <w:rsid w:val="00665582"/>
    <w:rsid w:val="00670BA7"/>
    <w:rsid w:val="00670C65"/>
    <w:rsid w:val="00671D20"/>
    <w:rsid w:val="00672D8B"/>
    <w:rsid w:val="006731A5"/>
    <w:rsid w:val="00675F36"/>
    <w:rsid w:val="00676BC2"/>
    <w:rsid w:val="00677C4C"/>
    <w:rsid w:val="00680C3E"/>
    <w:rsid w:val="006825B4"/>
    <w:rsid w:val="0068280A"/>
    <w:rsid w:val="00682A32"/>
    <w:rsid w:val="00691FE5"/>
    <w:rsid w:val="0069282E"/>
    <w:rsid w:val="006944A1"/>
    <w:rsid w:val="0069595E"/>
    <w:rsid w:val="00697917"/>
    <w:rsid w:val="006A2A05"/>
    <w:rsid w:val="006A33FE"/>
    <w:rsid w:val="006A40A5"/>
    <w:rsid w:val="006A419C"/>
    <w:rsid w:val="006A430E"/>
    <w:rsid w:val="006A4E06"/>
    <w:rsid w:val="006A5464"/>
    <w:rsid w:val="006A68C4"/>
    <w:rsid w:val="006A73CB"/>
    <w:rsid w:val="006B09CB"/>
    <w:rsid w:val="006B1442"/>
    <w:rsid w:val="006B16DB"/>
    <w:rsid w:val="006B23D7"/>
    <w:rsid w:val="006B2766"/>
    <w:rsid w:val="006B5D17"/>
    <w:rsid w:val="006C08C0"/>
    <w:rsid w:val="006C14C3"/>
    <w:rsid w:val="006C3322"/>
    <w:rsid w:val="006C6E02"/>
    <w:rsid w:val="006D078C"/>
    <w:rsid w:val="006D4DFF"/>
    <w:rsid w:val="006D52A5"/>
    <w:rsid w:val="006D55EC"/>
    <w:rsid w:val="006D7CBC"/>
    <w:rsid w:val="006D7DCA"/>
    <w:rsid w:val="006E16AE"/>
    <w:rsid w:val="006E2028"/>
    <w:rsid w:val="006E264B"/>
    <w:rsid w:val="006E4122"/>
    <w:rsid w:val="006E6B64"/>
    <w:rsid w:val="006E7AD3"/>
    <w:rsid w:val="006F33AE"/>
    <w:rsid w:val="006F4832"/>
    <w:rsid w:val="006F56EF"/>
    <w:rsid w:val="006F6590"/>
    <w:rsid w:val="006F6975"/>
    <w:rsid w:val="006F6E49"/>
    <w:rsid w:val="006F6F8C"/>
    <w:rsid w:val="00701771"/>
    <w:rsid w:val="007025CC"/>
    <w:rsid w:val="007027BB"/>
    <w:rsid w:val="007030AF"/>
    <w:rsid w:val="0070348F"/>
    <w:rsid w:val="00703C81"/>
    <w:rsid w:val="00704DD4"/>
    <w:rsid w:val="00704EF7"/>
    <w:rsid w:val="00706C30"/>
    <w:rsid w:val="00710A78"/>
    <w:rsid w:val="00715CAB"/>
    <w:rsid w:val="007163A7"/>
    <w:rsid w:val="0071678B"/>
    <w:rsid w:val="007216F0"/>
    <w:rsid w:val="00723553"/>
    <w:rsid w:val="007268E4"/>
    <w:rsid w:val="0073080C"/>
    <w:rsid w:val="00731538"/>
    <w:rsid w:val="0073155E"/>
    <w:rsid w:val="00731FC8"/>
    <w:rsid w:val="00732595"/>
    <w:rsid w:val="007354AF"/>
    <w:rsid w:val="0073600D"/>
    <w:rsid w:val="00743216"/>
    <w:rsid w:val="00744280"/>
    <w:rsid w:val="00744340"/>
    <w:rsid w:val="00746223"/>
    <w:rsid w:val="00750318"/>
    <w:rsid w:val="0075218C"/>
    <w:rsid w:val="00753D71"/>
    <w:rsid w:val="00753EFF"/>
    <w:rsid w:val="007602B5"/>
    <w:rsid w:val="00761F6F"/>
    <w:rsid w:val="0076230B"/>
    <w:rsid w:val="00762854"/>
    <w:rsid w:val="007639A5"/>
    <w:rsid w:val="007652CC"/>
    <w:rsid w:val="00765949"/>
    <w:rsid w:val="0077380D"/>
    <w:rsid w:val="00774A3E"/>
    <w:rsid w:val="00776DA5"/>
    <w:rsid w:val="00777226"/>
    <w:rsid w:val="0077730B"/>
    <w:rsid w:val="007811B3"/>
    <w:rsid w:val="00781DEA"/>
    <w:rsid w:val="00782255"/>
    <w:rsid w:val="00783C07"/>
    <w:rsid w:val="0078736F"/>
    <w:rsid w:val="00787AF7"/>
    <w:rsid w:val="007905EF"/>
    <w:rsid w:val="007924E1"/>
    <w:rsid w:val="00794E81"/>
    <w:rsid w:val="007A2041"/>
    <w:rsid w:val="007A23AB"/>
    <w:rsid w:val="007A6F50"/>
    <w:rsid w:val="007A72CF"/>
    <w:rsid w:val="007A7DCD"/>
    <w:rsid w:val="007B18A1"/>
    <w:rsid w:val="007B1B60"/>
    <w:rsid w:val="007B4C9E"/>
    <w:rsid w:val="007B5BB4"/>
    <w:rsid w:val="007C0A05"/>
    <w:rsid w:val="007C1162"/>
    <w:rsid w:val="007C11F9"/>
    <w:rsid w:val="007C168D"/>
    <w:rsid w:val="007C1F93"/>
    <w:rsid w:val="007C22A6"/>
    <w:rsid w:val="007D2A56"/>
    <w:rsid w:val="007D38C3"/>
    <w:rsid w:val="007D416D"/>
    <w:rsid w:val="007D5D0A"/>
    <w:rsid w:val="007D65F1"/>
    <w:rsid w:val="007D6A5A"/>
    <w:rsid w:val="007D6C18"/>
    <w:rsid w:val="007D7C4C"/>
    <w:rsid w:val="007E2AB7"/>
    <w:rsid w:val="007E34B7"/>
    <w:rsid w:val="007E3A2C"/>
    <w:rsid w:val="007E41AC"/>
    <w:rsid w:val="007E4417"/>
    <w:rsid w:val="007E5C38"/>
    <w:rsid w:val="007E5FD6"/>
    <w:rsid w:val="007E6E6E"/>
    <w:rsid w:val="007E7E77"/>
    <w:rsid w:val="007F2DB2"/>
    <w:rsid w:val="007F4AAD"/>
    <w:rsid w:val="007F70AB"/>
    <w:rsid w:val="008020A3"/>
    <w:rsid w:val="00803582"/>
    <w:rsid w:val="0080412A"/>
    <w:rsid w:val="0080459A"/>
    <w:rsid w:val="00805008"/>
    <w:rsid w:val="008078E3"/>
    <w:rsid w:val="00810248"/>
    <w:rsid w:val="008102FA"/>
    <w:rsid w:val="008105AB"/>
    <w:rsid w:val="00811FE5"/>
    <w:rsid w:val="00812248"/>
    <w:rsid w:val="008134BE"/>
    <w:rsid w:val="00813ECC"/>
    <w:rsid w:val="008153A9"/>
    <w:rsid w:val="0081657F"/>
    <w:rsid w:val="00816818"/>
    <w:rsid w:val="00816EF3"/>
    <w:rsid w:val="00822005"/>
    <w:rsid w:val="00822F39"/>
    <w:rsid w:val="00822F6B"/>
    <w:rsid w:val="00823E2C"/>
    <w:rsid w:val="008253DB"/>
    <w:rsid w:val="008267FD"/>
    <w:rsid w:val="00826D46"/>
    <w:rsid w:val="0082788B"/>
    <w:rsid w:val="0083388D"/>
    <w:rsid w:val="00834BBE"/>
    <w:rsid w:val="0084287A"/>
    <w:rsid w:val="00843879"/>
    <w:rsid w:val="008454F1"/>
    <w:rsid w:val="00845505"/>
    <w:rsid w:val="00846708"/>
    <w:rsid w:val="00846C56"/>
    <w:rsid w:val="00850A1B"/>
    <w:rsid w:val="00850B80"/>
    <w:rsid w:val="00851003"/>
    <w:rsid w:val="00853681"/>
    <w:rsid w:val="00853AEE"/>
    <w:rsid w:val="0085418D"/>
    <w:rsid w:val="008577CC"/>
    <w:rsid w:val="0086123A"/>
    <w:rsid w:val="00862130"/>
    <w:rsid w:val="008621CB"/>
    <w:rsid w:val="00862395"/>
    <w:rsid w:val="00864EA8"/>
    <w:rsid w:val="0086511B"/>
    <w:rsid w:val="00867782"/>
    <w:rsid w:val="00867DC2"/>
    <w:rsid w:val="008702B5"/>
    <w:rsid w:val="008714BD"/>
    <w:rsid w:val="008728DC"/>
    <w:rsid w:val="0087291C"/>
    <w:rsid w:val="00874F35"/>
    <w:rsid w:val="00877370"/>
    <w:rsid w:val="008774C9"/>
    <w:rsid w:val="00885E03"/>
    <w:rsid w:val="00886BFB"/>
    <w:rsid w:val="00886E8B"/>
    <w:rsid w:val="008905D7"/>
    <w:rsid w:val="008913F0"/>
    <w:rsid w:val="00892897"/>
    <w:rsid w:val="0089597D"/>
    <w:rsid w:val="008969A9"/>
    <w:rsid w:val="008A564E"/>
    <w:rsid w:val="008A5A64"/>
    <w:rsid w:val="008A5CDE"/>
    <w:rsid w:val="008A7014"/>
    <w:rsid w:val="008B15C8"/>
    <w:rsid w:val="008B28AF"/>
    <w:rsid w:val="008B3E6B"/>
    <w:rsid w:val="008B437B"/>
    <w:rsid w:val="008B457F"/>
    <w:rsid w:val="008B5258"/>
    <w:rsid w:val="008B6BDE"/>
    <w:rsid w:val="008C1DD2"/>
    <w:rsid w:val="008C27D7"/>
    <w:rsid w:val="008C2EE5"/>
    <w:rsid w:val="008C4797"/>
    <w:rsid w:val="008C4EE7"/>
    <w:rsid w:val="008C53FD"/>
    <w:rsid w:val="008C6DB9"/>
    <w:rsid w:val="008C7B02"/>
    <w:rsid w:val="008D10D5"/>
    <w:rsid w:val="008D114F"/>
    <w:rsid w:val="008D1D3C"/>
    <w:rsid w:val="008D3C7C"/>
    <w:rsid w:val="008D5244"/>
    <w:rsid w:val="008E2991"/>
    <w:rsid w:val="008E2F2D"/>
    <w:rsid w:val="008E46A2"/>
    <w:rsid w:val="008E5DB0"/>
    <w:rsid w:val="008E6C2B"/>
    <w:rsid w:val="008F165A"/>
    <w:rsid w:val="008F1664"/>
    <w:rsid w:val="008F5230"/>
    <w:rsid w:val="008F5587"/>
    <w:rsid w:val="008F6F1A"/>
    <w:rsid w:val="008F6F3B"/>
    <w:rsid w:val="00900BBC"/>
    <w:rsid w:val="00901226"/>
    <w:rsid w:val="009018E3"/>
    <w:rsid w:val="00901DFC"/>
    <w:rsid w:val="00903907"/>
    <w:rsid w:val="00904ECE"/>
    <w:rsid w:val="00905737"/>
    <w:rsid w:val="0090621D"/>
    <w:rsid w:val="00906F35"/>
    <w:rsid w:val="009077A2"/>
    <w:rsid w:val="00907E37"/>
    <w:rsid w:val="009120CF"/>
    <w:rsid w:val="00912407"/>
    <w:rsid w:val="00913387"/>
    <w:rsid w:val="00915398"/>
    <w:rsid w:val="00915B24"/>
    <w:rsid w:val="009172DE"/>
    <w:rsid w:val="0091751A"/>
    <w:rsid w:val="0091794E"/>
    <w:rsid w:val="009217A0"/>
    <w:rsid w:val="00922A4F"/>
    <w:rsid w:val="00923AAA"/>
    <w:rsid w:val="00923BAB"/>
    <w:rsid w:val="00924284"/>
    <w:rsid w:val="00924D47"/>
    <w:rsid w:val="00925849"/>
    <w:rsid w:val="00926684"/>
    <w:rsid w:val="009267B1"/>
    <w:rsid w:val="009272F7"/>
    <w:rsid w:val="00930A80"/>
    <w:rsid w:val="00931FB8"/>
    <w:rsid w:val="00932371"/>
    <w:rsid w:val="0093447A"/>
    <w:rsid w:val="00937F88"/>
    <w:rsid w:val="0094018A"/>
    <w:rsid w:val="00940F37"/>
    <w:rsid w:val="00941344"/>
    <w:rsid w:val="00941546"/>
    <w:rsid w:val="00941FD3"/>
    <w:rsid w:val="009430AD"/>
    <w:rsid w:val="009458EE"/>
    <w:rsid w:val="00945F2F"/>
    <w:rsid w:val="009512A6"/>
    <w:rsid w:val="00951C05"/>
    <w:rsid w:val="00952178"/>
    <w:rsid w:val="009524C2"/>
    <w:rsid w:val="009546AD"/>
    <w:rsid w:val="00955FD2"/>
    <w:rsid w:val="009575D1"/>
    <w:rsid w:val="00962114"/>
    <w:rsid w:val="00962FEF"/>
    <w:rsid w:val="00964865"/>
    <w:rsid w:val="0096643B"/>
    <w:rsid w:val="00967E06"/>
    <w:rsid w:val="00967E9D"/>
    <w:rsid w:val="009721C2"/>
    <w:rsid w:val="00972465"/>
    <w:rsid w:val="009752AD"/>
    <w:rsid w:val="00975F7D"/>
    <w:rsid w:val="009776D0"/>
    <w:rsid w:val="00977BBD"/>
    <w:rsid w:val="00981B64"/>
    <w:rsid w:val="009822F1"/>
    <w:rsid w:val="00982E8B"/>
    <w:rsid w:val="009838C4"/>
    <w:rsid w:val="009861A2"/>
    <w:rsid w:val="009902CD"/>
    <w:rsid w:val="00996410"/>
    <w:rsid w:val="00996A82"/>
    <w:rsid w:val="009A01E1"/>
    <w:rsid w:val="009A0B76"/>
    <w:rsid w:val="009A2CC2"/>
    <w:rsid w:val="009A3F14"/>
    <w:rsid w:val="009A5CF1"/>
    <w:rsid w:val="009A6DD6"/>
    <w:rsid w:val="009B1878"/>
    <w:rsid w:val="009B1C0F"/>
    <w:rsid w:val="009B2A54"/>
    <w:rsid w:val="009C0D1F"/>
    <w:rsid w:val="009C10B7"/>
    <w:rsid w:val="009C17E5"/>
    <w:rsid w:val="009C3853"/>
    <w:rsid w:val="009C6167"/>
    <w:rsid w:val="009C63CF"/>
    <w:rsid w:val="009C701E"/>
    <w:rsid w:val="009D100E"/>
    <w:rsid w:val="009D1DF5"/>
    <w:rsid w:val="009D43F5"/>
    <w:rsid w:val="009D4D93"/>
    <w:rsid w:val="009D6E12"/>
    <w:rsid w:val="009E13FB"/>
    <w:rsid w:val="009E2725"/>
    <w:rsid w:val="009E3A17"/>
    <w:rsid w:val="009E3D28"/>
    <w:rsid w:val="009E6E3B"/>
    <w:rsid w:val="009E79A4"/>
    <w:rsid w:val="009E7B41"/>
    <w:rsid w:val="009F26DA"/>
    <w:rsid w:val="009F2867"/>
    <w:rsid w:val="009F346C"/>
    <w:rsid w:val="009F35E1"/>
    <w:rsid w:val="009F3DD3"/>
    <w:rsid w:val="009F476C"/>
    <w:rsid w:val="009F4C76"/>
    <w:rsid w:val="009F583D"/>
    <w:rsid w:val="009F7D0A"/>
    <w:rsid w:val="009F7D61"/>
    <w:rsid w:val="00A02769"/>
    <w:rsid w:val="00A03600"/>
    <w:rsid w:val="00A0421C"/>
    <w:rsid w:val="00A05474"/>
    <w:rsid w:val="00A067D3"/>
    <w:rsid w:val="00A102AC"/>
    <w:rsid w:val="00A12C8C"/>
    <w:rsid w:val="00A1330E"/>
    <w:rsid w:val="00A13CAE"/>
    <w:rsid w:val="00A13E21"/>
    <w:rsid w:val="00A16A37"/>
    <w:rsid w:val="00A16BD2"/>
    <w:rsid w:val="00A170A7"/>
    <w:rsid w:val="00A2403A"/>
    <w:rsid w:val="00A2440A"/>
    <w:rsid w:val="00A24A96"/>
    <w:rsid w:val="00A260FC"/>
    <w:rsid w:val="00A272C5"/>
    <w:rsid w:val="00A27C0A"/>
    <w:rsid w:val="00A27D67"/>
    <w:rsid w:val="00A31691"/>
    <w:rsid w:val="00A32BDD"/>
    <w:rsid w:val="00A36FA6"/>
    <w:rsid w:val="00A410BA"/>
    <w:rsid w:val="00A435F0"/>
    <w:rsid w:val="00A45039"/>
    <w:rsid w:val="00A4539D"/>
    <w:rsid w:val="00A471C0"/>
    <w:rsid w:val="00A50599"/>
    <w:rsid w:val="00A513DB"/>
    <w:rsid w:val="00A53E3D"/>
    <w:rsid w:val="00A547CF"/>
    <w:rsid w:val="00A56AAD"/>
    <w:rsid w:val="00A60582"/>
    <w:rsid w:val="00A60F99"/>
    <w:rsid w:val="00A619FC"/>
    <w:rsid w:val="00A6553B"/>
    <w:rsid w:val="00A65B44"/>
    <w:rsid w:val="00A669E5"/>
    <w:rsid w:val="00A70219"/>
    <w:rsid w:val="00A70E79"/>
    <w:rsid w:val="00A71016"/>
    <w:rsid w:val="00A71643"/>
    <w:rsid w:val="00A71A45"/>
    <w:rsid w:val="00A73109"/>
    <w:rsid w:val="00A752B2"/>
    <w:rsid w:val="00A75CD3"/>
    <w:rsid w:val="00A75DAE"/>
    <w:rsid w:val="00A80C40"/>
    <w:rsid w:val="00A86ECC"/>
    <w:rsid w:val="00A901D0"/>
    <w:rsid w:val="00A92792"/>
    <w:rsid w:val="00A92E07"/>
    <w:rsid w:val="00A93AF4"/>
    <w:rsid w:val="00A976E0"/>
    <w:rsid w:val="00A97CB7"/>
    <w:rsid w:val="00AA0D11"/>
    <w:rsid w:val="00AA2733"/>
    <w:rsid w:val="00AA79FF"/>
    <w:rsid w:val="00AB0CF5"/>
    <w:rsid w:val="00AB19C8"/>
    <w:rsid w:val="00AB298D"/>
    <w:rsid w:val="00AB2AF6"/>
    <w:rsid w:val="00AB2B74"/>
    <w:rsid w:val="00AB54B5"/>
    <w:rsid w:val="00AB5A9C"/>
    <w:rsid w:val="00AB6425"/>
    <w:rsid w:val="00AB736E"/>
    <w:rsid w:val="00AC0A2C"/>
    <w:rsid w:val="00AC337E"/>
    <w:rsid w:val="00AC33AC"/>
    <w:rsid w:val="00AC4A12"/>
    <w:rsid w:val="00AC4AF4"/>
    <w:rsid w:val="00AC4BD7"/>
    <w:rsid w:val="00AC5EB2"/>
    <w:rsid w:val="00AC7F54"/>
    <w:rsid w:val="00AD1097"/>
    <w:rsid w:val="00AD3280"/>
    <w:rsid w:val="00AD3809"/>
    <w:rsid w:val="00AD582B"/>
    <w:rsid w:val="00AD70A5"/>
    <w:rsid w:val="00AE04BB"/>
    <w:rsid w:val="00AE0522"/>
    <w:rsid w:val="00AE05C5"/>
    <w:rsid w:val="00AE0BEB"/>
    <w:rsid w:val="00AE21E3"/>
    <w:rsid w:val="00AE2570"/>
    <w:rsid w:val="00AE3122"/>
    <w:rsid w:val="00AE4768"/>
    <w:rsid w:val="00AE4C04"/>
    <w:rsid w:val="00AE6324"/>
    <w:rsid w:val="00AE708A"/>
    <w:rsid w:val="00AE741C"/>
    <w:rsid w:val="00AF12AC"/>
    <w:rsid w:val="00AF13A9"/>
    <w:rsid w:val="00AF245F"/>
    <w:rsid w:val="00AF293D"/>
    <w:rsid w:val="00AF2EE8"/>
    <w:rsid w:val="00AF4B44"/>
    <w:rsid w:val="00AF5EDE"/>
    <w:rsid w:val="00AF6DDA"/>
    <w:rsid w:val="00B01D89"/>
    <w:rsid w:val="00B03985"/>
    <w:rsid w:val="00B03BE8"/>
    <w:rsid w:val="00B0575A"/>
    <w:rsid w:val="00B06F6F"/>
    <w:rsid w:val="00B10AB8"/>
    <w:rsid w:val="00B10B5E"/>
    <w:rsid w:val="00B10EBC"/>
    <w:rsid w:val="00B10EC2"/>
    <w:rsid w:val="00B112D9"/>
    <w:rsid w:val="00B11937"/>
    <w:rsid w:val="00B135AA"/>
    <w:rsid w:val="00B14B77"/>
    <w:rsid w:val="00B14EB0"/>
    <w:rsid w:val="00B15E4F"/>
    <w:rsid w:val="00B17CBC"/>
    <w:rsid w:val="00B21AE5"/>
    <w:rsid w:val="00B21C56"/>
    <w:rsid w:val="00B2289C"/>
    <w:rsid w:val="00B22A9F"/>
    <w:rsid w:val="00B2331C"/>
    <w:rsid w:val="00B23AE8"/>
    <w:rsid w:val="00B25821"/>
    <w:rsid w:val="00B25A9A"/>
    <w:rsid w:val="00B25CC0"/>
    <w:rsid w:val="00B260FB"/>
    <w:rsid w:val="00B26A41"/>
    <w:rsid w:val="00B27FE3"/>
    <w:rsid w:val="00B31265"/>
    <w:rsid w:val="00B3126A"/>
    <w:rsid w:val="00B31EE4"/>
    <w:rsid w:val="00B32E73"/>
    <w:rsid w:val="00B346C0"/>
    <w:rsid w:val="00B34707"/>
    <w:rsid w:val="00B36107"/>
    <w:rsid w:val="00B36257"/>
    <w:rsid w:val="00B376DB"/>
    <w:rsid w:val="00B3774B"/>
    <w:rsid w:val="00B4338D"/>
    <w:rsid w:val="00B4449E"/>
    <w:rsid w:val="00B45230"/>
    <w:rsid w:val="00B46856"/>
    <w:rsid w:val="00B513C1"/>
    <w:rsid w:val="00B51A8F"/>
    <w:rsid w:val="00B52033"/>
    <w:rsid w:val="00B550F3"/>
    <w:rsid w:val="00B55390"/>
    <w:rsid w:val="00B571E9"/>
    <w:rsid w:val="00B575E6"/>
    <w:rsid w:val="00B6006C"/>
    <w:rsid w:val="00B6053D"/>
    <w:rsid w:val="00B61F6E"/>
    <w:rsid w:val="00B62C5D"/>
    <w:rsid w:val="00B62F4F"/>
    <w:rsid w:val="00B64AC0"/>
    <w:rsid w:val="00B67BB9"/>
    <w:rsid w:val="00B705C0"/>
    <w:rsid w:val="00B71F9D"/>
    <w:rsid w:val="00B7500A"/>
    <w:rsid w:val="00B75705"/>
    <w:rsid w:val="00B75D72"/>
    <w:rsid w:val="00B81746"/>
    <w:rsid w:val="00B82FF8"/>
    <w:rsid w:val="00B84C5C"/>
    <w:rsid w:val="00B865DB"/>
    <w:rsid w:val="00B878E8"/>
    <w:rsid w:val="00B916D3"/>
    <w:rsid w:val="00B9199B"/>
    <w:rsid w:val="00B93494"/>
    <w:rsid w:val="00B93EF3"/>
    <w:rsid w:val="00B943A0"/>
    <w:rsid w:val="00B94636"/>
    <w:rsid w:val="00B9614B"/>
    <w:rsid w:val="00B975FC"/>
    <w:rsid w:val="00BA3AC0"/>
    <w:rsid w:val="00BA46B0"/>
    <w:rsid w:val="00BA4F3E"/>
    <w:rsid w:val="00BA5ECF"/>
    <w:rsid w:val="00BB0567"/>
    <w:rsid w:val="00BB07E3"/>
    <w:rsid w:val="00BB11B0"/>
    <w:rsid w:val="00BB32E9"/>
    <w:rsid w:val="00BB48EB"/>
    <w:rsid w:val="00BB54D5"/>
    <w:rsid w:val="00BC0146"/>
    <w:rsid w:val="00BC0FA8"/>
    <w:rsid w:val="00BC2FE0"/>
    <w:rsid w:val="00BC34F2"/>
    <w:rsid w:val="00BC501C"/>
    <w:rsid w:val="00BC5903"/>
    <w:rsid w:val="00BC6272"/>
    <w:rsid w:val="00BC6741"/>
    <w:rsid w:val="00BC6A8E"/>
    <w:rsid w:val="00BC7B38"/>
    <w:rsid w:val="00BC7D89"/>
    <w:rsid w:val="00BD2522"/>
    <w:rsid w:val="00BD469D"/>
    <w:rsid w:val="00BD76BE"/>
    <w:rsid w:val="00BE3396"/>
    <w:rsid w:val="00BE3A49"/>
    <w:rsid w:val="00BE54D3"/>
    <w:rsid w:val="00BE582B"/>
    <w:rsid w:val="00BE5967"/>
    <w:rsid w:val="00BF1E66"/>
    <w:rsid w:val="00BF5BCB"/>
    <w:rsid w:val="00BF7C66"/>
    <w:rsid w:val="00C00547"/>
    <w:rsid w:val="00C009CF"/>
    <w:rsid w:val="00C03E3A"/>
    <w:rsid w:val="00C05DD4"/>
    <w:rsid w:val="00C07370"/>
    <w:rsid w:val="00C11AED"/>
    <w:rsid w:val="00C12213"/>
    <w:rsid w:val="00C12988"/>
    <w:rsid w:val="00C12BC3"/>
    <w:rsid w:val="00C17014"/>
    <w:rsid w:val="00C20469"/>
    <w:rsid w:val="00C23AD3"/>
    <w:rsid w:val="00C24500"/>
    <w:rsid w:val="00C25E98"/>
    <w:rsid w:val="00C26EE1"/>
    <w:rsid w:val="00C30A8F"/>
    <w:rsid w:val="00C3126D"/>
    <w:rsid w:val="00C342C3"/>
    <w:rsid w:val="00C349C1"/>
    <w:rsid w:val="00C3593D"/>
    <w:rsid w:val="00C359BD"/>
    <w:rsid w:val="00C37B35"/>
    <w:rsid w:val="00C37FEC"/>
    <w:rsid w:val="00C41748"/>
    <w:rsid w:val="00C421EA"/>
    <w:rsid w:val="00C44CB5"/>
    <w:rsid w:val="00C451C1"/>
    <w:rsid w:val="00C47981"/>
    <w:rsid w:val="00C479D4"/>
    <w:rsid w:val="00C50430"/>
    <w:rsid w:val="00C5077E"/>
    <w:rsid w:val="00C50B72"/>
    <w:rsid w:val="00C514E0"/>
    <w:rsid w:val="00C5178C"/>
    <w:rsid w:val="00C52858"/>
    <w:rsid w:val="00C52B90"/>
    <w:rsid w:val="00C53498"/>
    <w:rsid w:val="00C561AA"/>
    <w:rsid w:val="00C57FD4"/>
    <w:rsid w:val="00C610A2"/>
    <w:rsid w:val="00C6230A"/>
    <w:rsid w:val="00C62E2B"/>
    <w:rsid w:val="00C6453A"/>
    <w:rsid w:val="00C645AE"/>
    <w:rsid w:val="00C64A08"/>
    <w:rsid w:val="00C64A4A"/>
    <w:rsid w:val="00C65228"/>
    <w:rsid w:val="00C70766"/>
    <w:rsid w:val="00C7099E"/>
    <w:rsid w:val="00C7434A"/>
    <w:rsid w:val="00C74A63"/>
    <w:rsid w:val="00C74F3A"/>
    <w:rsid w:val="00C75A83"/>
    <w:rsid w:val="00C775D3"/>
    <w:rsid w:val="00C775E5"/>
    <w:rsid w:val="00C8029E"/>
    <w:rsid w:val="00C81036"/>
    <w:rsid w:val="00C81615"/>
    <w:rsid w:val="00C82DCF"/>
    <w:rsid w:val="00C83C0B"/>
    <w:rsid w:val="00C83E88"/>
    <w:rsid w:val="00C84651"/>
    <w:rsid w:val="00C85D71"/>
    <w:rsid w:val="00C9272C"/>
    <w:rsid w:val="00C93FFF"/>
    <w:rsid w:val="00C9454E"/>
    <w:rsid w:val="00C94C08"/>
    <w:rsid w:val="00C94FF1"/>
    <w:rsid w:val="00C95CE6"/>
    <w:rsid w:val="00CA0B5D"/>
    <w:rsid w:val="00CA0C57"/>
    <w:rsid w:val="00CA3D26"/>
    <w:rsid w:val="00CA7B8A"/>
    <w:rsid w:val="00CB3958"/>
    <w:rsid w:val="00CB554E"/>
    <w:rsid w:val="00CB59DE"/>
    <w:rsid w:val="00CB726C"/>
    <w:rsid w:val="00CB75E6"/>
    <w:rsid w:val="00CC04EC"/>
    <w:rsid w:val="00CC2A2B"/>
    <w:rsid w:val="00CC5B84"/>
    <w:rsid w:val="00CC69A9"/>
    <w:rsid w:val="00CD1370"/>
    <w:rsid w:val="00CD3CC6"/>
    <w:rsid w:val="00CD4056"/>
    <w:rsid w:val="00CD51D0"/>
    <w:rsid w:val="00CE0727"/>
    <w:rsid w:val="00CE3BA9"/>
    <w:rsid w:val="00CE6872"/>
    <w:rsid w:val="00CE6B80"/>
    <w:rsid w:val="00CE6D8E"/>
    <w:rsid w:val="00CF10A4"/>
    <w:rsid w:val="00CF6BDE"/>
    <w:rsid w:val="00CF6E91"/>
    <w:rsid w:val="00CF71F9"/>
    <w:rsid w:val="00CF77C6"/>
    <w:rsid w:val="00CF7A95"/>
    <w:rsid w:val="00D05BFD"/>
    <w:rsid w:val="00D1037B"/>
    <w:rsid w:val="00D1091A"/>
    <w:rsid w:val="00D11CF2"/>
    <w:rsid w:val="00D13A0B"/>
    <w:rsid w:val="00D13E08"/>
    <w:rsid w:val="00D17180"/>
    <w:rsid w:val="00D17302"/>
    <w:rsid w:val="00D17D80"/>
    <w:rsid w:val="00D225F4"/>
    <w:rsid w:val="00D23E96"/>
    <w:rsid w:val="00D23EE4"/>
    <w:rsid w:val="00D2508B"/>
    <w:rsid w:val="00D26C0E"/>
    <w:rsid w:val="00D2740E"/>
    <w:rsid w:val="00D27D6B"/>
    <w:rsid w:val="00D3086C"/>
    <w:rsid w:val="00D317BC"/>
    <w:rsid w:val="00D32A17"/>
    <w:rsid w:val="00D33CE3"/>
    <w:rsid w:val="00D33D52"/>
    <w:rsid w:val="00D35620"/>
    <w:rsid w:val="00D431CF"/>
    <w:rsid w:val="00D4331E"/>
    <w:rsid w:val="00D43B64"/>
    <w:rsid w:val="00D44A24"/>
    <w:rsid w:val="00D45CB4"/>
    <w:rsid w:val="00D461A1"/>
    <w:rsid w:val="00D50D32"/>
    <w:rsid w:val="00D527D7"/>
    <w:rsid w:val="00D535A6"/>
    <w:rsid w:val="00D53768"/>
    <w:rsid w:val="00D54AE8"/>
    <w:rsid w:val="00D54E00"/>
    <w:rsid w:val="00D6056E"/>
    <w:rsid w:val="00D615E1"/>
    <w:rsid w:val="00D627DF"/>
    <w:rsid w:val="00D64B20"/>
    <w:rsid w:val="00D67684"/>
    <w:rsid w:val="00D6771D"/>
    <w:rsid w:val="00D715F4"/>
    <w:rsid w:val="00D736D6"/>
    <w:rsid w:val="00D73A2F"/>
    <w:rsid w:val="00D74405"/>
    <w:rsid w:val="00D74BB9"/>
    <w:rsid w:val="00D762BA"/>
    <w:rsid w:val="00D76770"/>
    <w:rsid w:val="00D806C2"/>
    <w:rsid w:val="00D82F0E"/>
    <w:rsid w:val="00D83803"/>
    <w:rsid w:val="00D86AC6"/>
    <w:rsid w:val="00D87602"/>
    <w:rsid w:val="00D87EEC"/>
    <w:rsid w:val="00D9118E"/>
    <w:rsid w:val="00D9427C"/>
    <w:rsid w:val="00D9442B"/>
    <w:rsid w:val="00D94652"/>
    <w:rsid w:val="00D952CB"/>
    <w:rsid w:val="00D95A01"/>
    <w:rsid w:val="00D95E6D"/>
    <w:rsid w:val="00D963E1"/>
    <w:rsid w:val="00D96AB6"/>
    <w:rsid w:val="00D97FC3"/>
    <w:rsid w:val="00DA0068"/>
    <w:rsid w:val="00DA2473"/>
    <w:rsid w:val="00DA60DB"/>
    <w:rsid w:val="00DA62F7"/>
    <w:rsid w:val="00DB2262"/>
    <w:rsid w:val="00DB2489"/>
    <w:rsid w:val="00DB27A7"/>
    <w:rsid w:val="00DB3397"/>
    <w:rsid w:val="00DB39FC"/>
    <w:rsid w:val="00DB5B05"/>
    <w:rsid w:val="00DC22B3"/>
    <w:rsid w:val="00DC2353"/>
    <w:rsid w:val="00DC37BA"/>
    <w:rsid w:val="00DC37EC"/>
    <w:rsid w:val="00DC45AC"/>
    <w:rsid w:val="00DC46A9"/>
    <w:rsid w:val="00DC52F7"/>
    <w:rsid w:val="00DC5869"/>
    <w:rsid w:val="00DC6785"/>
    <w:rsid w:val="00DC6C41"/>
    <w:rsid w:val="00DD0B00"/>
    <w:rsid w:val="00DD12CB"/>
    <w:rsid w:val="00DD1E59"/>
    <w:rsid w:val="00DD2297"/>
    <w:rsid w:val="00DD27D3"/>
    <w:rsid w:val="00DD2F11"/>
    <w:rsid w:val="00DD38B7"/>
    <w:rsid w:val="00DD4FDE"/>
    <w:rsid w:val="00DE0032"/>
    <w:rsid w:val="00DE3402"/>
    <w:rsid w:val="00DE4055"/>
    <w:rsid w:val="00DE5A51"/>
    <w:rsid w:val="00DE5C29"/>
    <w:rsid w:val="00DE6AFF"/>
    <w:rsid w:val="00DF49A5"/>
    <w:rsid w:val="00DF4F26"/>
    <w:rsid w:val="00DF6733"/>
    <w:rsid w:val="00DF696C"/>
    <w:rsid w:val="00DF7F72"/>
    <w:rsid w:val="00E010FD"/>
    <w:rsid w:val="00E0158C"/>
    <w:rsid w:val="00E015A3"/>
    <w:rsid w:val="00E01A51"/>
    <w:rsid w:val="00E03463"/>
    <w:rsid w:val="00E0450E"/>
    <w:rsid w:val="00E04D64"/>
    <w:rsid w:val="00E112D3"/>
    <w:rsid w:val="00E11648"/>
    <w:rsid w:val="00E12ED6"/>
    <w:rsid w:val="00E1453D"/>
    <w:rsid w:val="00E15B4D"/>
    <w:rsid w:val="00E1614F"/>
    <w:rsid w:val="00E16DCD"/>
    <w:rsid w:val="00E2059E"/>
    <w:rsid w:val="00E25645"/>
    <w:rsid w:val="00E2629A"/>
    <w:rsid w:val="00E26684"/>
    <w:rsid w:val="00E35A90"/>
    <w:rsid w:val="00E36270"/>
    <w:rsid w:val="00E36939"/>
    <w:rsid w:val="00E369B1"/>
    <w:rsid w:val="00E372D6"/>
    <w:rsid w:val="00E37549"/>
    <w:rsid w:val="00E41173"/>
    <w:rsid w:val="00E448EF"/>
    <w:rsid w:val="00E45963"/>
    <w:rsid w:val="00E46504"/>
    <w:rsid w:val="00E475FD"/>
    <w:rsid w:val="00E50755"/>
    <w:rsid w:val="00E51638"/>
    <w:rsid w:val="00E51A46"/>
    <w:rsid w:val="00E522D7"/>
    <w:rsid w:val="00E528B9"/>
    <w:rsid w:val="00E53575"/>
    <w:rsid w:val="00E544F9"/>
    <w:rsid w:val="00E54D5E"/>
    <w:rsid w:val="00E56A95"/>
    <w:rsid w:val="00E578C7"/>
    <w:rsid w:val="00E62E41"/>
    <w:rsid w:val="00E63A7D"/>
    <w:rsid w:val="00E6400A"/>
    <w:rsid w:val="00E6467B"/>
    <w:rsid w:val="00E6654D"/>
    <w:rsid w:val="00E674FA"/>
    <w:rsid w:val="00E6755C"/>
    <w:rsid w:val="00E71FA7"/>
    <w:rsid w:val="00E7497E"/>
    <w:rsid w:val="00E75477"/>
    <w:rsid w:val="00E76501"/>
    <w:rsid w:val="00E77E8C"/>
    <w:rsid w:val="00E8099A"/>
    <w:rsid w:val="00E80BAB"/>
    <w:rsid w:val="00E817BB"/>
    <w:rsid w:val="00E81F99"/>
    <w:rsid w:val="00E90B07"/>
    <w:rsid w:val="00E91F96"/>
    <w:rsid w:val="00E929E3"/>
    <w:rsid w:val="00E95326"/>
    <w:rsid w:val="00E96200"/>
    <w:rsid w:val="00E96F8E"/>
    <w:rsid w:val="00EA17C1"/>
    <w:rsid w:val="00EA2A1E"/>
    <w:rsid w:val="00EA2D23"/>
    <w:rsid w:val="00EA3D8C"/>
    <w:rsid w:val="00EA4BA1"/>
    <w:rsid w:val="00EB01FA"/>
    <w:rsid w:val="00EB0DAC"/>
    <w:rsid w:val="00EB0F69"/>
    <w:rsid w:val="00EB1E67"/>
    <w:rsid w:val="00EB2540"/>
    <w:rsid w:val="00EB2975"/>
    <w:rsid w:val="00EB5D34"/>
    <w:rsid w:val="00EB60E6"/>
    <w:rsid w:val="00EB6698"/>
    <w:rsid w:val="00EC2606"/>
    <w:rsid w:val="00EC3E38"/>
    <w:rsid w:val="00EC4E2B"/>
    <w:rsid w:val="00EC6238"/>
    <w:rsid w:val="00EC7976"/>
    <w:rsid w:val="00EC7C13"/>
    <w:rsid w:val="00ED01AC"/>
    <w:rsid w:val="00ED09FC"/>
    <w:rsid w:val="00ED1002"/>
    <w:rsid w:val="00ED1F20"/>
    <w:rsid w:val="00ED2AB1"/>
    <w:rsid w:val="00ED34E7"/>
    <w:rsid w:val="00ED36C0"/>
    <w:rsid w:val="00ED3B11"/>
    <w:rsid w:val="00ED4120"/>
    <w:rsid w:val="00EE08DE"/>
    <w:rsid w:val="00EE09AD"/>
    <w:rsid w:val="00EE17B2"/>
    <w:rsid w:val="00EE1C50"/>
    <w:rsid w:val="00EE1CB1"/>
    <w:rsid w:val="00EE2C2E"/>
    <w:rsid w:val="00EE63D4"/>
    <w:rsid w:val="00EE744C"/>
    <w:rsid w:val="00EE75BB"/>
    <w:rsid w:val="00EE7631"/>
    <w:rsid w:val="00EF0811"/>
    <w:rsid w:val="00EF4BF9"/>
    <w:rsid w:val="00EF5BB2"/>
    <w:rsid w:val="00EF765C"/>
    <w:rsid w:val="00EF7A17"/>
    <w:rsid w:val="00F008E9"/>
    <w:rsid w:val="00F0281B"/>
    <w:rsid w:val="00F03333"/>
    <w:rsid w:val="00F03893"/>
    <w:rsid w:val="00F044A5"/>
    <w:rsid w:val="00F05558"/>
    <w:rsid w:val="00F05966"/>
    <w:rsid w:val="00F103D1"/>
    <w:rsid w:val="00F10E16"/>
    <w:rsid w:val="00F10E2A"/>
    <w:rsid w:val="00F1111D"/>
    <w:rsid w:val="00F12C68"/>
    <w:rsid w:val="00F15FD9"/>
    <w:rsid w:val="00F219F3"/>
    <w:rsid w:val="00F23359"/>
    <w:rsid w:val="00F238B1"/>
    <w:rsid w:val="00F25786"/>
    <w:rsid w:val="00F260B9"/>
    <w:rsid w:val="00F32215"/>
    <w:rsid w:val="00F32537"/>
    <w:rsid w:val="00F32595"/>
    <w:rsid w:val="00F341B4"/>
    <w:rsid w:val="00F34BF3"/>
    <w:rsid w:val="00F36F83"/>
    <w:rsid w:val="00F3708F"/>
    <w:rsid w:val="00F37A0E"/>
    <w:rsid w:val="00F43810"/>
    <w:rsid w:val="00F43879"/>
    <w:rsid w:val="00F471E1"/>
    <w:rsid w:val="00F513E2"/>
    <w:rsid w:val="00F53A3F"/>
    <w:rsid w:val="00F56950"/>
    <w:rsid w:val="00F56DCB"/>
    <w:rsid w:val="00F57008"/>
    <w:rsid w:val="00F57A5F"/>
    <w:rsid w:val="00F6168E"/>
    <w:rsid w:val="00F623F3"/>
    <w:rsid w:val="00F625BA"/>
    <w:rsid w:val="00F63DC6"/>
    <w:rsid w:val="00F738F0"/>
    <w:rsid w:val="00F752F8"/>
    <w:rsid w:val="00F76B66"/>
    <w:rsid w:val="00F77245"/>
    <w:rsid w:val="00F80477"/>
    <w:rsid w:val="00F84688"/>
    <w:rsid w:val="00F84731"/>
    <w:rsid w:val="00F84932"/>
    <w:rsid w:val="00F84F5B"/>
    <w:rsid w:val="00F8551A"/>
    <w:rsid w:val="00F87F10"/>
    <w:rsid w:val="00F90ACE"/>
    <w:rsid w:val="00F90F31"/>
    <w:rsid w:val="00F92BAE"/>
    <w:rsid w:val="00F93B1D"/>
    <w:rsid w:val="00F946CF"/>
    <w:rsid w:val="00F96AFC"/>
    <w:rsid w:val="00F9701F"/>
    <w:rsid w:val="00FA0216"/>
    <w:rsid w:val="00FA40C5"/>
    <w:rsid w:val="00FA45C3"/>
    <w:rsid w:val="00FA5EBB"/>
    <w:rsid w:val="00FA6FFD"/>
    <w:rsid w:val="00FA7093"/>
    <w:rsid w:val="00FB1663"/>
    <w:rsid w:val="00FB29FB"/>
    <w:rsid w:val="00FB32E5"/>
    <w:rsid w:val="00FB47FD"/>
    <w:rsid w:val="00FB4A29"/>
    <w:rsid w:val="00FB5A64"/>
    <w:rsid w:val="00FB73D9"/>
    <w:rsid w:val="00FC0654"/>
    <w:rsid w:val="00FC214F"/>
    <w:rsid w:val="00FC4418"/>
    <w:rsid w:val="00FC5444"/>
    <w:rsid w:val="00FC5C0C"/>
    <w:rsid w:val="00FD1352"/>
    <w:rsid w:val="00FD19AF"/>
    <w:rsid w:val="00FD1BE0"/>
    <w:rsid w:val="00FD389C"/>
    <w:rsid w:val="00FD3ADF"/>
    <w:rsid w:val="00FD4D40"/>
    <w:rsid w:val="00FD4D70"/>
    <w:rsid w:val="00FD5A4C"/>
    <w:rsid w:val="00FD6EC6"/>
    <w:rsid w:val="00FE1F81"/>
    <w:rsid w:val="00FE2057"/>
    <w:rsid w:val="00FE3818"/>
    <w:rsid w:val="00FE387D"/>
    <w:rsid w:val="00FE39B6"/>
    <w:rsid w:val="00FE4613"/>
    <w:rsid w:val="00FE4971"/>
    <w:rsid w:val="00FE65E6"/>
    <w:rsid w:val="00FE7435"/>
    <w:rsid w:val="00FF1721"/>
    <w:rsid w:val="00FF19B5"/>
    <w:rsid w:val="00FF1C3A"/>
    <w:rsid w:val="00FF20B9"/>
    <w:rsid w:val="00FF2D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A9C67"/>
  <w15:chartTrackingRefBased/>
  <w15:docId w15:val="{154F273D-08D9-4E52-AC9D-4C52B7DE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D9"/>
    <w:pPr>
      <w:spacing w:before="60" w:after="60" w:line="276" w:lineRule="auto"/>
      <w:jc w:val="both"/>
    </w:pPr>
    <w:rPr>
      <w:rFonts w:ascii="Arial" w:hAnsi="Arial" w:cs="Arial"/>
      <w:sz w:val="24"/>
      <w:szCs w:val="24"/>
    </w:rPr>
  </w:style>
  <w:style w:type="paragraph" w:styleId="Ttulo1">
    <w:name w:val="heading 1"/>
    <w:basedOn w:val="Normal"/>
    <w:next w:val="Normal"/>
    <w:link w:val="Ttulo1Car"/>
    <w:uiPriority w:val="1"/>
    <w:qFormat/>
    <w:rsid w:val="00F15FD9"/>
    <w:pPr>
      <w:spacing w:before="0" w:after="0" w:line="240" w:lineRule="auto"/>
      <w:ind w:left="4536"/>
      <w:outlineLvl w:val="0"/>
    </w:pPr>
    <w:rPr>
      <w:b/>
      <w:sz w:val="26"/>
      <w:szCs w:val="26"/>
    </w:rPr>
  </w:style>
  <w:style w:type="paragraph" w:styleId="Ttulo2">
    <w:name w:val="heading 2"/>
    <w:basedOn w:val="Normal"/>
    <w:next w:val="Normal"/>
    <w:link w:val="Ttulo2Car"/>
    <w:uiPriority w:val="1"/>
    <w:unhideWhenUsed/>
    <w:qFormat/>
    <w:rsid w:val="00F15FD9"/>
    <w:pPr>
      <w:spacing w:before="360" w:after="360"/>
      <w:jc w:val="center"/>
      <w:outlineLvl w:val="1"/>
    </w:pPr>
    <w:rPr>
      <w:rFonts w:ascii="Arial Negrita" w:hAnsi="Arial Negrita"/>
      <w:b/>
      <w:spacing w:val="60"/>
      <w:sz w:val="26"/>
      <w:szCs w:val="26"/>
    </w:rPr>
  </w:style>
  <w:style w:type="paragraph" w:styleId="Ttulo3">
    <w:name w:val="heading 3"/>
    <w:basedOn w:val="Prrafodelista"/>
    <w:next w:val="Normal"/>
    <w:link w:val="Ttulo3Car"/>
    <w:uiPriority w:val="1"/>
    <w:unhideWhenUsed/>
    <w:qFormat/>
    <w:rsid w:val="00F15FD9"/>
    <w:pPr>
      <w:numPr>
        <w:numId w:val="1"/>
      </w:numPr>
      <w:spacing w:before="360" w:after="360" w:line="360" w:lineRule="auto"/>
      <w:jc w:val="center"/>
      <w:outlineLvl w:val="2"/>
    </w:pPr>
    <w:rPr>
      <w:b/>
      <w:sz w:val="26"/>
      <w:szCs w:val="26"/>
    </w:rPr>
  </w:style>
  <w:style w:type="paragraph" w:styleId="Ttulo5">
    <w:name w:val="heading 5"/>
    <w:basedOn w:val="Normal"/>
    <w:next w:val="Normal"/>
    <w:link w:val="Ttulo5Car"/>
    <w:uiPriority w:val="9"/>
    <w:semiHidden/>
    <w:unhideWhenUsed/>
    <w:qFormat/>
    <w:rsid w:val="00D1730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15FD9"/>
    <w:rPr>
      <w:rFonts w:ascii="Arial" w:hAnsi="Arial" w:cs="Arial"/>
      <w:b/>
      <w:sz w:val="26"/>
      <w:szCs w:val="26"/>
    </w:rPr>
  </w:style>
  <w:style w:type="character" w:customStyle="1" w:styleId="Ttulo2Car">
    <w:name w:val="Título 2 Car"/>
    <w:basedOn w:val="Fuentedeprrafopredeter"/>
    <w:link w:val="Ttulo2"/>
    <w:uiPriority w:val="1"/>
    <w:rsid w:val="00F15FD9"/>
    <w:rPr>
      <w:rFonts w:ascii="Arial Negrita" w:hAnsi="Arial Negrita" w:cs="Arial"/>
      <w:b/>
      <w:spacing w:val="60"/>
      <w:sz w:val="26"/>
      <w:szCs w:val="26"/>
    </w:rPr>
  </w:style>
  <w:style w:type="character" w:customStyle="1" w:styleId="Ttulo3Car">
    <w:name w:val="Título 3 Car"/>
    <w:basedOn w:val="Fuentedeprrafopredeter"/>
    <w:link w:val="Ttulo3"/>
    <w:uiPriority w:val="1"/>
    <w:rsid w:val="00F15FD9"/>
    <w:rPr>
      <w:rFonts w:ascii="Arial" w:hAnsi="Arial" w:cs="Arial"/>
      <w:b/>
      <w:sz w:val="26"/>
      <w:szCs w:val="26"/>
    </w:rPr>
  </w:style>
  <w:style w:type="paragraph" w:styleId="Sinespaciado">
    <w:name w:val="No Spacing"/>
    <w:basedOn w:val="Normal"/>
    <w:uiPriority w:val="1"/>
    <w:qFormat/>
    <w:rsid w:val="00F15FD9"/>
    <w:pPr>
      <w:spacing w:before="0" w:after="0"/>
    </w:pPr>
    <w:rPr>
      <w:sz w:val="16"/>
      <w:szCs w:val="16"/>
    </w:rPr>
  </w:style>
  <w:style w:type="paragraph" w:customStyle="1" w:styleId="Prrafo">
    <w:name w:val="Párrafo"/>
    <w:basedOn w:val="Normal"/>
    <w:qFormat/>
    <w:rsid w:val="00F15FD9"/>
    <w:pPr>
      <w:spacing w:before="240" w:after="240" w:line="360" w:lineRule="auto"/>
    </w:pPr>
    <w:rPr>
      <w:sz w:val="26"/>
      <w:szCs w:val="26"/>
    </w:rPr>
  </w:style>
  <w:style w:type="paragraph" w:styleId="Piedepgina">
    <w:name w:val="footer"/>
    <w:basedOn w:val="Normal"/>
    <w:link w:val="PiedepginaCar"/>
    <w:uiPriority w:val="99"/>
    <w:unhideWhenUsed/>
    <w:rsid w:val="00F15FD9"/>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F15FD9"/>
    <w:rPr>
      <w:rFonts w:ascii="Arial" w:hAnsi="Arial" w:cs="Arial"/>
      <w:sz w:val="24"/>
      <w:szCs w:val="24"/>
    </w:rPr>
  </w:style>
  <w:style w:type="table" w:styleId="Tablaconcuadrcula">
    <w:name w:val="Table Grid"/>
    <w:basedOn w:val="Tablanormal"/>
    <w:uiPriority w:val="39"/>
    <w:rsid w:val="00F15FD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 texto,Footnote,List Paragraph1,TEXTO GENERAL SENTENCIAS,Párrafo de lista1,Párrafo de lista2,List Paragraph,CNBV Parrafo1,Parrafo 1,Colorful List - Accent 11,Cuadrícula clara - Énfasis 31,PARRAFO,Trascripción,Dot pt,Listas,Dot p,DH1"/>
    <w:basedOn w:val="Normal"/>
    <w:link w:val="PrrafodelistaCar"/>
    <w:uiPriority w:val="34"/>
    <w:qFormat/>
    <w:rsid w:val="00F15FD9"/>
    <w:pPr>
      <w:ind w:left="720"/>
      <w:contextualSpacing/>
    </w:pPr>
  </w:style>
  <w:style w:type="paragraph" w:styleId="Encabezado">
    <w:name w:val="header"/>
    <w:basedOn w:val="Normal"/>
    <w:link w:val="EncabezadoCar"/>
    <w:uiPriority w:val="99"/>
    <w:unhideWhenUsed/>
    <w:rsid w:val="00F15FD9"/>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F15FD9"/>
    <w:rPr>
      <w:rFonts w:ascii="Arial" w:hAnsi="Arial" w:cs="Arial"/>
      <w:sz w:val="24"/>
      <w:szCs w:val="24"/>
    </w:rPr>
  </w:style>
  <w:style w:type="character" w:styleId="Textodelmarcadordeposicin">
    <w:name w:val="Placeholder Text"/>
    <w:basedOn w:val="Fuentedeprrafopredeter"/>
    <w:uiPriority w:val="99"/>
    <w:semiHidden/>
    <w:rsid w:val="00FB47FD"/>
    <w:rPr>
      <w:color w:val="808080"/>
    </w:rPr>
  </w:style>
  <w:style w:type="paragraph" w:styleId="Textoindependiente">
    <w:name w:val="Body Text"/>
    <w:basedOn w:val="Normal"/>
    <w:link w:val="TextoindependienteCar"/>
    <w:uiPriority w:val="1"/>
    <w:qFormat/>
    <w:rsid w:val="00931FB8"/>
    <w:pPr>
      <w:widowControl w:val="0"/>
      <w:spacing w:before="0" w:after="0" w:line="240" w:lineRule="auto"/>
      <w:ind w:left="540" w:hanging="427"/>
      <w:jc w:val="left"/>
    </w:pPr>
    <w:rPr>
      <w:rFonts w:eastAsia="Arial" w:cstheme="minorBidi"/>
      <w:sz w:val="26"/>
      <w:szCs w:val="26"/>
      <w:lang w:val="en-US"/>
    </w:rPr>
  </w:style>
  <w:style w:type="character" w:customStyle="1" w:styleId="TextoindependienteCar">
    <w:name w:val="Texto independiente Car"/>
    <w:basedOn w:val="Fuentedeprrafopredeter"/>
    <w:link w:val="Textoindependiente"/>
    <w:uiPriority w:val="1"/>
    <w:rsid w:val="00931FB8"/>
    <w:rPr>
      <w:rFonts w:ascii="Arial" w:eastAsia="Arial" w:hAnsi="Arial"/>
      <w:sz w:val="26"/>
      <w:szCs w:val="26"/>
      <w:lang w:val="en-US"/>
    </w:rPr>
  </w:style>
  <w:style w:type="paragraph" w:styleId="Textonotapie">
    <w:name w:val="footnote text"/>
    <w:aliases w:val="Nota al pie,Footnote Text Char Char Char Char Char,Footnote Text Char Char Char Char,Footnote reference,FA Fu,Footnote Text Char Char Char,Footnote Text Cha,FA Fußnotentext,FA Fu?notentext,Footnote Text Char Char,FA Fuﬂnotentext,Ca,Car, C"/>
    <w:basedOn w:val="Normal"/>
    <w:link w:val="TextonotapieCar"/>
    <w:unhideWhenUsed/>
    <w:qFormat/>
    <w:rsid w:val="0042091F"/>
    <w:pPr>
      <w:spacing w:before="0" w:after="0" w:line="240" w:lineRule="auto"/>
    </w:pPr>
    <w:rPr>
      <w:sz w:val="20"/>
      <w:szCs w:val="20"/>
    </w:rPr>
  </w:style>
  <w:style w:type="character" w:customStyle="1" w:styleId="TextonotapieCar">
    <w:name w:val="Texto nota pie Car"/>
    <w:aliases w:val="Nota al pie Car,Footnote Text Char Char Char Char Char Car,Footnote Text Char Char Char Char Car,Footnote reference Car,FA Fu Car,Footnote Text Char Char Char Car,Footnote Text Cha Car,FA Fußnotentext Car,FA Fu?notentext Car,Ca Car"/>
    <w:basedOn w:val="Fuentedeprrafopredeter"/>
    <w:link w:val="Textonotapie"/>
    <w:uiPriority w:val="99"/>
    <w:qFormat/>
    <w:rsid w:val="0042091F"/>
    <w:rPr>
      <w:rFonts w:ascii="Arial" w:hAnsi="Arial" w:cs="Arial"/>
      <w:sz w:val="20"/>
      <w:szCs w:val="20"/>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Stinking Styles6"/>
    <w:basedOn w:val="Fuentedeprrafopredeter"/>
    <w:link w:val="4GChar"/>
    <w:uiPriority w:val="99"/>
    <w:unhideWhenUsed/>
    <w:qFormat/>
    <w:rsid w:val="0042091F"/>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94330"/>
    <w:pPr>
      <w:spacing w:before="0" w:after="0" w:line="240" w:lineRule="auto"/>
      <w:jc w:val="left"/>
    </w:pPr>
    <w:rPr>
      <w:rFonts w:asciiTheme="minorHAnsi" w:hAnsiTheme="minorHAnsi" w:cstheme="minorBidi"/>
      <w:sz w:val="22"/>
      <w:szCs w:val="22"/>
      <w:vertAlign w:val="superscript"/>
    </w:rPr>
  </w:style>
  <w:style w:type="paragraph" w:customStyle="1" w:styleId="corte4fondo">
    <w:name w:val="corte4 fondo"/>
    <w:basedOn w:val="Normal"/>
    <w:link w:val="corte4fondoCar1"/>
    <w:qFormat/>
    <w:rsid w:val="00A170A7"/>
    <w:pPr>
      <w:spacing w:before="0" w:after="0" w:line="360" w:lineRule="auto"/>
      <w:ind w:firstLine="709"/>
    </w:pPr>
    <w:rPr>
      <w:rFonts w:eastAsia="Times New Roman" w:cs="Times New Roman"/>
      <w:sz w:val="30"/>
      <w:szCs w:val="20"/>
      <w:lang w:val="es-ES_tradnl" w:eastAsia="es-MX"/>
    </w:rPr>
  </w:style>
  <w:style w:type="character" w:customStyle="1" w:styleId="corte4fondoCar1">
    <w:name w:val="corte4 fondo Car1"/>
    <w:link w:val="corte4fondo"/>
    <w:rsid w:val="00A170A7"/>
    <w:rPr>
      <w:rFonts w:ascii="Arial" w:eastAsia="Times New Roman" w:hAnsi="Arial" w:cs="Times New Roman"/>
      <w:sz w:val="30"/>
      <w:szCs w:val="20"/>
      <w:lang w:val="es-ES_tradnl" w:eastAsia="es-MX"/>
    </w:rPr>
  </w:style>
  <w:style w:type="character" w:customStyle="1" w:styleId="PrrafodelistaCar">
    <w:name w:val="Párrafo de lista Car"/>
    <w:aliases w:val="Cita texto Car,Footnote Car,List Paragraph1 Car,TEXTO GENERAL SENTENCIAS Car,Párrafo de lista1 Car,Párrafo de lista2 Car,List Paragraph Car,CNBV Parrafo1 Car,Parrafo 1 Car,Colorful List - Accent 11 Car,PARRAFO Car,Trascripción Car"/>
    <w:link w:val="Prrafodelista"/>
    <w:uiPriority w:val="34"/>
    <w:qFormat/>
    <w:locked/>
    <w:rsid w:val="00A170A7"/>
    <w:rPr>
      <w:rFonts w:ascii="Arial" w:hAnsi="Arial" w:cs="Arial"/>
      <w:sz w:val="24"/>
      <w:szCs w:val="24"/>
    </w:rPr>
  </w:style>
  <w:style w:type="paragraph" w:customStyle="1" w:styleId="Piedepagina">
    <w:name w:val="Pie de pagina"/>
    <w:basedOn w:val="Normal"/>
    <w:uiPriority w:val="99"/>
    <w:rsid w:val="00250E64"/>
    <w:pPr>
      <w:spacing w:before="0" w:after="160" w:line="240" w:lineRule="exact"/>
      <w:jc w:val="left"/>
    </w:pPr>
    <w:rPr>
      <w:rFonts w:asciiTheme="minorHAnsi" w:hAnsiTheme="minorHAnsi" w:cstheme="minorBidi"/>
      <w:sz w:val="22"/>
      <w:szCs w:val="22"/>
      <w:vertAlign w:val="superscript"/>
    </w:rPr>
  </w:style>
  <w:style w:type="paragraph" w:customStyle="1" w:styleId="Estilo">
    <w:name w:val="Estilo"/>
    <w:basedOn w:val="Sinespaciado"/>
    <w:link w:val="EstiloCar"/>
    <w:qFormat/>
    <w:rsid w:val="00250E64"/>
    <w:pPr>
      <w:spacing w:line="240" w:lineRule="auto"/>
    </w:pPr>
    <w:rPr>
      <w:rFonts w:cstheme="minorBidi"/>
      <w:sz w:val="24"/>
      <w:szCs w:val="22"/>
    </w:rPr>
  </w:style>
  <w:style w:type="character" w:customStyle="1" w:styleId="EstiloCar">
    <w:name w:val="Estilo Car"/>
    <w:basedOn w:val="Fuentedeprrafopredeter"/>
    <w:link w:val="Estilo"/>
    <w:rsid w:val="00250E64"/>
    <w:rPr>
      <w:rFonts w:ascii="Arial" w:hAnsi="Arial"/>
      <w:sz w:val="24"/>
    </w:rPr>
  </w:style>
  <w:style w:type="character" w:styleId="Refdecomentario">
    <w:name w:val="annotation reference"/>
    <w:basedOn w:val="Fuentedeprrafopredeter"/>
    <w:uiPriority w:val="99"/>
    <w:semiHidden/>
    <w:unhideWhenUsed/>
    <w:rsid w:val="001B671A"/>
    <w:rPr>
      <w:sz w:val="16"/>
      <w:szCs w:val="16"/>
    </w:rPr>
  </w:style>
  <w:style w:type="paragraph" w:styleId="Textocomentario">
    <w:name w:val="annotation text"/>
    <w:basedOn w:val="Normal"/>
    <w:link w:val="TextocomentarioCar"/>
    <w:uiPriority w:val="99"/>
    <w:unhideWhenUsed/>
    <w:rsid w:val="001B671A"/>
    <w:pPr>
      <w:spacing w:line="240" w:lineRule="auto"/>
    </w:pPr>
    <w:rPr>
      <w:sz w:val="20"/>
      <w:szCs w:val="20"/>
    </w:rPr>
  </w:style>
  <w:style w:type="character" w:customStyle="1" w:styleId="TextocomentarioCar">
    <w:name w:val="Texto comentario Car"/>
    <w:basedOn w:val="Fuentedeprrafopredeter"/>
    <w:link w:val="Textocomentario"/>
    <w:uiPriority w:val="99"/>
    <w:rsid w:val="001B671A"/>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1B671A"/>
    <w:rPr>
      <w:b/>
      <w:bCs/>
    </w:rPr>
  </w:style>
  <w:style w:type="character" w:customStyle="1" w:styleId="AsuntodelcomentarioCar">
    <w:name w:val="Asunto del comentario Car"/>
    <w:basedOn w:val="TextocomentarioCar"/>
    <w:link w:val="Asuntodelcomentario"/>
    <w:uiPriority w:val="99"/>
    <w:semiHidden/>
    <w:rsid w:val="001B671A"/>
    <w:rPr>
      <w:rFonts w:ascii="Arial" w:hAnsi="Arial" w:cs="Arial"/>
      <w:b/>
      <w:bCs/>
      <w:sz w:val="20"/>
      <w:szCs w:val="20"/>
    </w:rPr>
  </w:style>
  <w:style w:type="character" w:customStyle="1" w:styleId="articulojustificado">
    <w:name w:val="articulojustificado"/>
    <w:basedOn w:val="Fuentedeprrafopredeter"/>
    <w:rsid w:val="008C4797"/>
  </w:style>
  <w:style w:type="character" w:customStyle="1" w:styleId="corte4fondoCar">
    <w:name w:val="corte4 fondo Car"/>
    <w:rsid w:val="008F1664"/>
    <w:rPr>
      <w:rFonts w:ascii="Arial" w:hAnsi="Arial"/>
      <w:sz w:val="30"/>
      <w:lang w:val="es-ES_tradnl" w:eastAsia="es-MX" w:bidi="ar-SA"/>
    </w:rPr>
  </w:style>
  <w:style w:type="character" w:customStyle="1" w:styleId="Ttulo5Car">
    <w:name w:val="Título 5 Car"/>
    <w:basedOn w:val="Fuentedeprrafopredeter"/>
    <w:link w:val="Ttulo5"/>
    <w:rsid w:val="00D17302"/>
    <w:rPr>
      <w:rFonts w:asciiTheme="majorHAnsi" w:eastAsiaTheme="majorEastAsia" w:hAnsiTheme="majorHAnsi" w:cstheme="majorBidi"/>
      <w:color w:val="2F5496" w:themeColor="accent1" w:themeShade="BF"/>
      <w:sz w:val="24"/>
      <w:szCs w:val="24"/>
    </w:rPr>
  </w:style>
  <w:style w:type="paragraph" w:customStyle="1" w:styleId="corte2ponente">
    <w:name w:val="corte2 ponente"/>
    <w:basedOn w:val="Normal"/>
    <w:link w:val="corte2ponenteCar"/>
    <w:qFormat/>
    <w:rsid w:val="00C82DCF"/>
    <w:pPr>
      <w:spacing w:before="0" w:after="0" w:line="240" w:lineRule="auto"/>
      <w:jc w:val="left"/>
    </w:pPr>
    <w:rPr>
      <w:rFonts w:eastAsia="Times New Roman" w:cs="Times New Roman"/>
      <w:b/>
      <w:caps/>
      <w:sz w:val="30"/>
      <w:szCs w:val="20"/>
      <w:lang w:val="es-ES_tradnl" w:eastAsia="es-MX"/>
    </w:rPr>
  </w:style>
  <w:style w:type="character" w:customStyle="1" w:styleId="corte2ponenteCar">
    <w:name w:val="corte2 ponente Car"/>
    <w:basedOn w:val="Fuentedeprrafopredeter"/>
    <w:link w:val="corte2ponente"/>
    <w:locked/>
    <w:rsid w:val="00C82DCF"/>
    <w:rPr>
      <w:rFonts w:ascii="Arial" w:eastAsia="Times New Roman" w:hAnsi="Arial" w:cs="Times New Roman"/>
      <w:b/>
      <w:caps/>
      <w:sz w:val="30"/>
      <w:szCs w:val="20"/>
      <w:lang w:val="es-ES_tradnl" w:eastAsia="es-MX"/>
    </w:rPr>
  </w:style>
  <w:style w:type="paragraph" w:customStyle="1" w:styleId="corte5transcripcion">
    <w:name w:val="corte5 transcripcion"/>
    <w:basedOn w:val="Normal"/>
    <w:link w:val="corte5transcripcionCar1"/>
    <w:qFormat/>
    <w:rsid w:val="008B28AF"/>
    <w:pPr>
      <w:spacing w:before="0" w:after="0" w:line="360" w:lineRule="auto"/>
      <w:ind w:left="709" w:right="709"/>
    </w:pPr>
    <w:rPr>
      <w:rFonts w:eastAsia="Times New Roman" w:cs="Times New Roman"/>
      <w:b/>
      <w:i/>
      <w:sz w:val="30"/>
      <w:szCs w:val="20"/>
      <w:lang w:eastAsia="es-MX"/>
    </w:rPr>
  </w:style>
  <w:style w:type="character" w:customStyle="1" w:styleId="corte5transcripcionCar1">
    <w:name w:val="corte5 transcripcion Car1"/>
    <w:link w:val="corte5transcripcion"/>
    <w:locked/>
    <w:rsid w:val="008B28AF"/>
    <w:rPr>
      <w:rFonts w:ascii="Arial" w:eastAsia="Times New Roman" w:hAnsi="Arial" w:cs="Times New Roman"/>
      <w:b/>
      <w:i/>
      <w:sz w:val="30"/>
      <w:szCs w:val="20"/>
      <w:lang w:eastAsia="es-MX"/>
    </w:rPr>
  </w:style>
  <w:style w:type="character" w:customStyle="1" w:styleId="FootnoteRef">
    <w:name w:val="Footnote Ref"/>
    <w:rsid w:val="008B28AF"/>
    <w:rPr>
      <w:vertAlign w:val="superscript"/>
    </w:rPr>
  </w:style>
  <w:style w:type="paragraph" w:customStyle="1" w:styleId="Cuerpo">
    <w:name w:val="Cuerpo"/>
    <w:rsid w:val="004A55A1"/>
    <w:pPr>
      <w:widowControl w:val="0"/>
      <w:autoSpaceDE w:val="0"/>
      <w:autoSpaceDN w:val="0"/>
      <w:adjustRightInd w:val="0"/>
      <w:spacing w:after="0" w:line="300" w:lineRule="atLeast"/>
    </w:pPr>
    <w:rPr>
      <w:rFonts w:ascii="Verdana" w:eastAsia="Times New Roman" w:hAnsi="Verdana" w:cs="Times New Roman"/>
      <w:noProof/>
      <w:color w:val="000000"/>
      <w:sz w:val="24"/>
      <w:szCs w:val="20"/>
      <w:lang w:val="es-ES" w:eastAsia="es-ES"/>
    </w:rPr>
  </w:style>
  <w:style w:type="paragraph" w:styleId="TtuloTDC">
    <w:name w:val="TOC Heading"/>
    <w:basedOn w:val="Ttulo1"/>
    <w:next w:val="Normal"/>
    <w:uiPriority w:val="39"/>
    <w:unhideWhenUsed/>
    <w:qFormat/>
    <w:rsid w:val="00CF6E91"/>
    <w:pPr>
      <w:keepNext/>
      <w:keepLines/>
      <w:spacing w:before="480" w:line="276" w:lineRule="auto"/>
      <w:ind w:left="0"/>
      <w:jc w:val="left"/>
      <w:outlineLvl w:val="9"/>
    </w:pPr>
    <w:rPr>
      <w:rFonts w:asciiTheme="majorHAnsi" w:eastAsiaTheme="majorEastAsia" w:hAnsiTheme="majorHAnsi" w:cstheme="majorBidi"/>
      <w:bCs/>
      <w:color w:val="2F5496" w:themeColor="accent1" w:themeShade="BF"/>
      <w:sz w:val="28"/>
      <w:szCs w:val="28"/>
      <w:lang w:eastAsia="es-MX"/>
    </w:rPr>
  </w:style>
  <w:style w:type="paragraph" w:styleId="TDC1">
    <w:name w:val="toc 1"/>
    <w:basedOn w:val="Normal"/>
    <w:next w:val="Normal"/>
    <w:autoRedefine/>
    <w:uiPriority w:val="39"/>
    <w:unhideWhenUsed/>
    <w:rsid w:val="00CF6E91"/>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CF6E91"/>
    <w:pPr>
      <w:spacing w:before="0" w:after="0"/>
      <w:ind w:left="24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2E55E4"/>
    <w:pPr>
      <w:tabs>
        <w:tab w:val="left" w:pos="960"/>
        <w:tab w:val="right" w:leader="dot" w:pos="9204"/>
      </w:tabs>
      <w:spacing w:before="0" w:after="0" w:line="360" w:lineRule="auto"/>
      <w:ind w:left="480"/>
    </w:pPr>
    <w:rPr>
      <w:rFonts w:asciiTheme="minorHAnsi" w:hAnsiTheme="minorHAnsi" w:cstheme="minorHAnsi"/>
      <w:i/>
      <w:iCs/>
      <w:sz w:val="20"/>
      <w:szCs w:val="20"/>
    </w:rPr>
  </w:style>
  <w:style w:type="character" w:styleId="Hipervnculo">
    <w:name w:val="Hyperlink"/>
    <w:basedOn w:val="Fuentedeprrafopredeter"/>
    <w:uiPriority w:val="99"/>
    <w:unhideWhenUsed/>
    <w:rsid w:val="00CF6E91"/>
    <w:rPr>
      <w:color w:val="0563C1" w:themeColor="hyperlink"/>
      <w:u w:val="single"/>
    </w:rPr>
  </w:style>
  <w:style w:type="paragraph" w:styleId="TDC4">
    <w:name w:val="toc 4"/>
    <w:basedOn w:val="Normal"/>
    <w:next w:val="Normal"/>
    <w:autoRedefine/>
    <w:uiPriority w:val="39"/>
    <w:unhideWhenUsed/>
    <w:rsid w:val="00CF6E91"/>
    <w:pPr>
      <w:spacing w:before="0" w:after="0"/>
      <w:ind w:left="72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CF6E91"/>
    <w:pPr>
      <w:spacing w:before="0" w:after="0"/>
      <w:ind w:left="96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CF6E91"/>
    <w:pPr>
      <w:spacing w:before="0" w:after="0"/>
      <w:ind w:left="12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CF6E91"/>
    <w:pPr>
      <w:spacing w:before="0" w:after="0"/>
      <w:ind w:left="144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CF6E91"/>
    <w:pPr>
      <w:spacing w:before="0" w:after="0"/>
      <w:ind w:left="168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CF6E91"/>
    <w:pPr>
      <w:spacing w:before="0" w:after="0"/>
      <w:ind w:left="1920"/>
      <w:jc w:val="left"/>
    </w:pPr>
    <w:rPr>
      <w:rFonts w:asciiTheme="minorHAnsi" w:hAnsiTheme="minorHAnsi" w:cstheme="minorHAnsi"/>
      <w:sz w:val="18"/>
      <w:szCs w:val="18"/>
    </w:rPr>
  </w:style>
  <w:style w:type="paragraph" w:styleId="Revisin">
    <w:name w:val="Revision"/>
    <w:hidden/>
    <w:uiPriority w:val="99"/>
    <w:semiHidden/>
    <w:rsid w:val="00CF6E9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
      <w:bodyDiv w:val="1"/>
      <w:marLeft w:val="0"/>
      <w:marRight w:val="0"/>
      <w:marTop w:val="0"/>
      <w:marBottom w:val="0"/>
      <w:divBdr>
        <w:top w:val="none" w:sz="0" w:space="0" w:color="auto"/>
        <w:left w:val="none" w:sz="0" w:space="0" w:color="auto"/>
        <w:bottom w:val="none" w:sz="0" w:space="0" w:color="auto"/>
        <w:right w:val="none" w:sz="0" w:space="0" w:color="auto"/>
      </w:divBdr>
    </w:div>
    <w:div w:id="474874216">
      <w:bodyDiv w:val="1"/>
      <w:marLeft w:val="0"/>
      <w:marRight w:val="0"/>
      <w:marTop w:val="0"/>
      <w:marBottom w:val="0"/>
      <w:divBdr>
        <w:top w:val="none" w:sz="0" w:space="0" w:color="auto"/>
        <w:left w:val="none" w:sz="0" w:space="0" w:color="auto"/>
        <w:bottom w:val="none" w:sz="0" w:space="0" w:color="auto"/>
        <w:right w:val="none" w:sz="0" w:space="0" w:color="auto"/>
      </w:divBdr>
    </w:div>
    <w:div w:id="751509847">
      <w:bodyDiv w:val="1"/>
      <w:marLeft w:val="0"/>
      <w:marRight w:val="0"/>
      <w:marTop w:val="0"/>
      <w:marBottom w:val="0"/>
      <w:divBdr>
        <w:top w:val="none" w:sz="0" w:space="0" w:color="auto"/>
        <w:left w:val="none" w:sz="0" w:space="0" w:color="auto"/>
        <w:bottom w:val="none" w:sz="0" w:space="0" w:color="auto"/>
        <w:right w:val="none" w:sz="0" w:space="0" w:color="auto"/>
      </w:divBdr>
      <w:divsChild>
        <w:div w:id="1257205481">
          <w:marLeft w:val="0"/>
          <w:marRight w:val="0"/>
          <w:marTop w:val="0"/>
          <w:marBottom w:val="0"/>
          <w:divBdr>
            <w:top w:val="none" w:sz="0" w:space="0" w:color="auto"/>
            <w:left w:val="none" w:sz="0" w:space="0" w:color="auto"/>
            <w:bottom w:val="none" w:sz="0" w:space="0" w:color="auto"/>
            <w:right w:val="none" w:sz="0" w:space="0" w:color="auto"/>
          </w:divBdr>
        </w:div>
        <w:div w:id="8265607">
          <w:marLeft w:val="0"/>
          <w:marRight w:val="0"/>
          <w:marTop w:val="0"/>
          <w:marBottom w:val="0"/>
          <w:divBdr>
            <w:top w:val="none" w:sz="0" w:space="0" w:color="auto"/>
            <w:left w:val="none" w:sz="0" w:space="0" w:color="auto"/>
            <w:bottom w:val="none" w:sz="0" w:space="0" w:color="auto"/>
            <w:right w:val="none" w:sz="0" w:space="0" w:color="auto"/>
          </w:divBdr>
        </w:div>
        <w:div w:id="37634571">
          <w:marLeft w:val="0"/>
          <w:marRight w:val="0"/>
          <w:marTop w:val="0"/>
          <w:marBottom w:val="0"/>
          <w:divBdr>
            <w:top w:val="none" w:sz="0" w:space="0" w:color="auto"/>
            <w:left w:val="none" w:sz="0" w:space="0" w:color="auto"/>
            <w:bottom w:val="none" w:sz="0" w:space="0" w:color="auto"/>
            <w:right w:val="none" w:sz="0" w:space="0" w:color="auto"/>
          </w:divBdr>
        </w:div>
        <w:div w:id="864903964">
          <w:marLeft w:val="0"/>
          <w:marRight w:val="0"/>
          <w:marTop w:val="0"/>
          <w:marBottom w:val="0"/>
          <w:divBdr>
            <w:top w:val="none" w:sz="0" w:space="0" w:color="auto"/>
            <w:left w:val="none" w:sz="0" w:space="0" w:color="auto"/>
            <w:bottom w:val="none" w:sz="0" w:space="0" w:color="auto"/>
            <w:right w:val="none" w:sz="0" w:space="0" w:color="auto"/>
          </w:divBdr>
        </w:div>
        <w:div w:id="1075518964">
          <w:marLeft w:val="0"/>
          <w:marRight w:val="0"/>
          <w:marTop w:val="0"/>
          <w:marBottom w:val="0"/>
          <w:divBdr>
            <w:top w:val="none" w:sz="0" w:space="0" w:color="auto"/>
            <w:left w:val="none" w:sz="0" w:space="0" w:color="auto"/>
            <w:bottom w:val="none" w:sz="0" w:space="0" w:color="auto"/>
            <w:right w:val="none" w:sz="0" w:space="0" w:color="auto"/>
          </w:divBdr>
        </w:div>
        <w:div w:id="535385728">
          <w:marLeft w:val="0"/>
          <w:marRight w:val="0"/>
          <w:marTop w:val="0"/>
          <w:marBottom w:val="0"/>
          <w:divBdr>
            <w:top w:val="none" w:sz="0" w:space="0" w:color="auto"/>
            <w:left w:val="none" w:sz="0" w:space="0" w:color="auto"/>
            <w:bottom w:val="none" w:sz="0" w:space="0" w:color="auto"/>
            <w:right w:val="none" w:sz="0" w:space="0" w:color="auto"/>
          </w:divBdr>
        </w:div>
        <w:div w:id="230817813">
          <w:marLeft w:val="0"/>
          <w:marRight w:val="0"/>
          <w:marTop w:val="0"/>
          <w:marBottom w:val="0"/>
          <w:divBdr>
            <w:top w:val="none" w:sz="0" w:space="0" w:color="auto"/>
            <w:left w:val="none" w:sz="0" w:space="0" w:color="auto"/>
            <w:bottom w:val="none" w:sz="0" w:space="0" w:color="auto"/>
            <w:right w:val="none" w:sz="0" w:space="0" w:color="auto"/>
          </w:divBdr>
        </w:div>
      </w:divsChild>
    </w:div>
    <w:div w:id="876427757">
      <w:bodyDiv w:val="1"/>
      <w:marLeft w:val="0"/>
      <w:marRight w:val="0"/>
      <w:marTop w:val="0"/>
      <w:marBottom w:val="0"/>
      <w:divBdr>
        <w:top w:val="none" w:sz="0" w:space="0" w:color="auto"/>
        <w:left w:val="none" w:sz="0" w:space="0" w:color="auto"/>
        <w:bottom w:val="none" w:sz="0" w:space="0" w:color="auto"/>
        <w:right w:val="none" w:sz="0" w:space="0" w:color="auto"/>
      </w:divBdr>
    </w:div>
    <w:div w:id="915944890">
      <w:bodyDiv w:val="1"/>
      <w:marLeft w:val="0"/>
      <w:marRight w:val="0"/>
      <w:marTop w:val="0"/>
      <w:marBottom w:val="0"/>
      <w:divBdr>
        <w:top w:val="none" w:sz="0" w:space="0" w:color="auto"/>
        <w:left w:val="none" w:sz="0" w:space="0" w:color="auto"/>
        <w:bottom w:val="none" w:sz="0" w:space="0" w:color="auto"/>
        <w:right w:val="none" w:sz="0" w:space="0" w:color="auto"/>
      </w:divBdr>
    </w:div>
    <w:div w:id="1008295086">
      <w:bodyDiv w:val="1"/>
      <w:marLeft w:val="0"/>
      <w:marRight w:val="0"/>
      <w:marTop w:val="0"/>
      <w:marBottom w:val="0"/>
      <w:divBdr>
        <w:top w:val="none" w:sz="0" w:space="0" w:color="auto"/>
        <w:left w:val="none" w:sz="0" w:space="0" w:color="auto"/>
        <w:bottom w:val="none" w:sz="0" w:space="0" w:color="auto"/>
        <w:right w:val="none" w:sz="0" w:space="0" w:color="auto"/>
      </w:divBdr>
    </w:div>
    <w:div w:id="1310984647">
      <w:bodyDiv w:val="1"/>
      <w:marLeft w:val="0"/>
      <w:marRight w:val="0"/>
      <w:marTop w:val="0"/>
      <w:marBottom w:val="0"/>
      <w:divBdr>
        <w:top w:val="none" w:sz="0" w:space="0" w:color="auto"/>
        <w:left w:val="none" w:sz="0" w:space="0" w:color="auto"/>
        <w:bottom w:val="none" w:sz="0" w:space="0" w:color="auto"/>
        <w:right w:val="none" w:sz="0" w:space="0" w:color="auto"/>
      </w:divBdr>
    </w:div>
    <w:div w:id="1469786792">
      <w:bodyDiv w:val="1"/>
      <w:marLeft w:val="0"/>
      <w:marRight w:val="0"/>
      <w:marTop w:val="0"/>
      <w:marBottom w:val="0"/>
      <w:divBdr>
        <w:top w:val="none" w:sz="0" w:space="0" w:color="auto"/>
        <w:left w:val="none" w:sz="0" w:space="0" w:color="auto"/>
        <w:bottom w:val="none" w:sz="0" w:space="0" w:color="auto"/>
        <w:right w:val="none" w:sz="0" w:space="0" w:color="auto"/>
      </w:divBdr>
    </w:div>
    <w:div w:id="1636793358">
      <w:bodyDiv w:val="1"/>
      <w:marLeft w:val="0"/>
      <w:marRight w:val="0"/>
      <w:marTop w:val="0"/>
      <w:marBottom w:val="0"/>
      <w:divBdr>
        <w:top w:val="none" w:sz="0" w:space="0" w:color="auto"/>
        <w:left w:val="none" w:sz="0" w:space="0" w:color="auto"/>
        <w:bottom w:val="none" w:sz="0" w:space="0" w:color="auto"/>
        <w:right w:val="none" w:sz="0" w:space="0" w:color="auto"/>
      </w:divBdr>
      <w:divsChild>
        <w:div w:id="594754807">
          <w:marLeft w:val="0"/>
          <w:marRight w:val="0"/>
          <w:marTop w:val="0"/>
          <w:marBottom w:val="150"/>
          <w:divBdr>
            <w:top w:val="none" w:sz="0" w:space="0" w:color="auto"/>
            <w:left w:val="none" w:sz="0" w:space="0" w:color="auto"/>
            <w:bottom w:val="single" w:sz="6" w:space="0" w:color="24135F"/>
            <w:right w:val="none" w:sz="0" w:space="0" w:color="auto"/>
          </w:divBdr>
        </w:div>
        <w:div w:id="1779250336">
          <w:marLeft w:val="0"/>
          <w:marRight w:val="0"/>
          <w:marTop w:val="0"/>
          <w:marBottom w:val="0"/>
          <w:divBdr>
            <w:top w:val="none" w:sz="0" w:space="0" w:color="auto"/>
            <w:left w:val="none" w:sz="0" w:space="0" w:color="auto"/>
            <w:bottom w:val="none" w:sz="0" w:space="0" w:color="auto"/>
            <w:right w:val="none" w:sz="0" w:space="0" w:color="auto"/>
          </w:divBdr>
          <w:divsChild>
            <w:div w:id="1107191355">
              <w:marLeft w:val="0"/>
              <w:marRight w:val="0"/>
              <w:marTop w:val="0"/>
              <w:marBottom w:val="0"/>
              <w:divBdr>
                <w:top w:val="none" w:sz="0" w:space="0" w:color="auto"/>
                <w:left w:val="none" w:sz="0" w:space="0" w:color="auto"/>
                <w:bottom w:val="none" w:sz="0" w:space="0" w:color="auto"/>
                <w:right w:val="none" w:sz="0" w:space="0" w:color="auto"/>
              </w:divBdr>
              <w:divsChild>
                <w:div w:id="1863785766">
                  <w:marLeft w:val="0"/>
                  <w:marRight w:val="0"/>
                  <w:marTop w:val="0"/>
                  <w:marBottom w:val="0"/>
                  <w:divBdr>
                    <w:top w:val="none" w:sz="0" w:space="0" w:color="auto"/>
                    <w:left w:val="none" w:sz="0" w:space="0" w:color="auto"/>
                    <w:bottom w:val="none" w:sz="0" w:space="0" w:color="auto"/>
                    <w:right w:val="none" w:sz="0" w:space="0" w:color="auto"/>
                  </w:divBdr>
                </w:div>
              </w:divsChild>
            </w:div>
            <w:div w:id="1872179361">
              <w:marLeft w:val="0"/>
              <w:marRight w:val="0"/>
              <w:marTop w:val="0"/>
              <w:marBottom w:val="0"/>
              <w:divBdr>
                <w:top w:val="none" w:sz="0" w:space="0" w:color="auto"/>
                <w:left w:val="none" w:sz="0" w:space="0" w:color="auto"/>
                <w:bottom w:val="none" w:sz="0" w:space="0" w:color="auto"/>
                <w:right w:val="none" w:sz="0" w:space="0" w:color="auto"/>
              </w:divBdr>
              <w:divsChild>
                <w:div w:id="2125684274">
                  <w:marLeft w:val="0"/>
                  <w:marRight w:val="0"/>
                  <w:marTop w:val="0"/>
                  <w:marBottom w:val="0"/>
                  <w:divBdr>
                    <w:top w:val="none" w:sz="0" w:space="0" w:color="auto"/>
                    <w:left w:val="none" w:sz="0" w:space="0" w:color="auto"/>
                    <w:bottom w:val="none" w:sz="0" w:space="0" w:color="auto"/>
                    <w:right w:val="none" w:sz="0" w:space="0" w:color="auto"/>
                  </w:divBdr>
                </w:div>
                <w:div w:id="1220048794">
                  <w:marLeft w:val="0"/>
                  <w:marRight w:val="0"/>
                  <w:marTop w:val="0"/>
                  <w:marBottom w:val="0"/>
                  <w:divBdr>
                    <w:top w:val="none" w:sz="0" w:space="0" w:color="auto"/>
                    <w:left w:val="none" w:sz="0" w:space="0" w:color="auto"/>
                    <w:bottom w:val="none" w:sz="0" w:space="0" w:color="auto"/>
                    <w:right w:val="none" w:sz="0" w:space="0" w:color="auto"/>
                  </w:divBdr>
                </w:div>
                <w:div w:id="1938949133">
                  <w:marLeft w:val="0"/>
                  <w:marRight w:val="0"/>
                  <w:marTop w:val="0"/>
                  <w:marBottom w:val="0"/>
                  <w:divBdr>
                    <w:top w:val="none" w:sz="0" w:space="0" w:color="auto"/>
                    <w:left w:val="none" w:sz="0" w:space="0" w:color="auto"/>
                    <w:bottom w:val="none" w:sz="0" w:space="0" w:color="auto"/>
                    <w:right w:val="none" w:sz="0" w:space="0" w:color="auto"/>
                  </w:divBdr>
                </w:div>
              </w:divsChild>
            </w:div>
            <w:div w:id="1688755056">
              <w:marLeft w:val="0"/>
              <w:marRight w:val="0"/>
              <w:marTop w:val="0"/>
              <w:marBottom w:val="0"/>
              <w:divBdr>
                <w:top w:val="none" w:sz="0" w:space="0" w:color="auto"/>
                <w:left w:val="none" w:sz="0" w:space="0" w:color="auto"/>
                <w:bottom w:val="none" w:sz="0" w:space="0" w:color="auto"/>
                <w:right w:val="none" w:sz="0" w:space="0" w:color="auto"/>
              </w:divBdr>
              <w:divsChild>
                <w:div w:id="636380521">
                  <w:marLeft w:val="0"/>
                  <w:marRight w:val="0"/>
                  <w:marTop w:val="0"/>
                  <w:marBottom w:val="0"/>
                  <w:divBdr>
                    <w:top w:val="none" w:sz="0" w:space="0" w:color="auto"/>
                    <w:left w:val="none" w:sz="0" w:space="0" w:color="auto"/>
                    <w:bottom w:val="none" w:sz="0" w:space="0" w:color="auto"/>
                    <w:right w:val="none" w:sz="0" w:space="0" w:color="auto"/>
                  </w:divBdr>
                </w:div>
                <w:div w:id="158160770">
                  <w:marLeft w:val="0"/>
                  <w:marRight w:val="0"/>
                  <w:marTop w:val="0"/>
                  <w:marBottom w:val="0"/>
                  <w:divBdr>
                    <w:top w:val="none" w:sz="0" w:space="0" w:color="auto"/>
                    <w:left w:val="none" w:sz="0" w:space="0" w:color="auto"/>
                    <w:bottom w:val="none" w:sz="0" w:space="0" w:color="auto"/>
                    <w:right w:val="none" w:sz="0" w:space="0" w:color="auto"/>
                  </w:divBdr>
                </w:div>
                <w:div w:id="9238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3978">
          <w:marLeft w:val="0"/>
          <w:marRight w:val="0"/>
          <w:marTop w:val="0"/>
          <w:marBottom w:val="0"/>
          <w:divBdr>
            <w:top w:val="none" w:sz="0" w:space="0" w:color="auto"/>
            <w:left w:val="none" w:sz="0" w:space="0" w:color="auto"/>
            <w:bottom w:val="none" w:sz="0" w:space="0" w:color="auto"/>
            <w:right w:val="none" w:sz="0" w:space="0" w:color="auto"/>
          </w:divBdr>
        </w:div>
        <w:div w:id="1462991698">
          <w:marLeft w:val="0"/>
          <w:marRight w:val="0"/>
          <w:marTop w:val="0"/>
          <w:marBottom w:val="0"/>
          <w:divBdr>
            <w:top w:val="none" w:sz="0" w:space="0" w:color="auto"/>
            <w:left w:val="none" w:sz="0" w:space="0" w:color="auto"/>
            <w:bottom w:val="none" w:sz="0" w:space="0" w:color="auto"/>
            <w:right w:val="none" w:sz="0" w:space="0" w:color="auto"/>
          </w:divBdr>
        </w:div>
        <w:div w:id="599874082">
          <w:marLeft w:val="0"/>
          <w:marRight w:val="0"/>
          <w:marTop w:val="0"/>
          <w:marBottom w:val="0"/>
          <w:divBdr>
            <w:top w:val="none" w:sz="0" w:space="0" w:color="auto"/>
            <w:left w:val="none" w:sz="0" w:space="0" w:color="auto"/>
            <w:bottom w:val="none" w:sz="0" w:space="0" w:color="auto"/>
            <w:right w:val="none" w:sz="0" w:space="0" w:color="auto"/>
          </w:divBdr>
        </w:div>
      </w:divsChild>
    </w:div>
    <w:div w:id="19853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csaldivara\AppData\Local\Temp\Plantilla_296512_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E E x p e d i e n t e   x m l n s = " h t t p : / / s c h e m a s . o p e n x m l f o r m a t s . o r g / E x p e d i e n t e A c t u a l " > < A s u n t o I D > 2 9 6 5 1 2 < / A s u n t o I D > < E x p e d i e n t e > 6 2 / 2 0 2 2 < / E x p e d i e n t e > < A � o > 2 0 2 2 < / A � o > < C o n s e c u t i v o > 6 2 < / C o n s e c u t i v o > < T i p o A s u n t o I D > 1 9 < / T i p o A s u n t o I D > < T i p o A s u n t o > A C C I � N   D E   I N C O N S T I T U C I O N A L I D A D < / T i p o A s u n t o > < P e r t e n e n c i a I D > 3 < / P e r t e n e n c i a I D > < P e r t e n e n c i a > P L E N O < / P e r t e n e n c i a > < P r o m o v e n t e s > P R O M O V E N T E :   P A R T I D O   P O L I T I C O   M O V I M I E N T O   C I U D A D A N O < / P r o m o v e n t e s > < E x p e d i e n t e T i p o A s u n t o > 6 2 / 2 0 2 2   A C C I � N   D E   I N C O N S T I T U C I O N A L I D A D < / E x p e d i e n t e T i p o A s u n t o > < S e s i o n e s / > < S e s i o n I D > 0 < / S e s i o n I D > < P e r t e n e n c i a A r t i c u l o I n i c i o > L a   S e g u n d a   S a l a < / P e r t e n e n c i a A r t i c u l o I n i c i o > < P e r t e n e n c i a A r t i c u l o > l a   S e g u n d a   S a l a < / P e r t e n e n c i a A r t i c u l o > < E s t a d o > C I U D A D   D E   M � X I C O < / E s t a d o > < P r o m o v e n t e s S i n T i p o > P A R T I D O   P O L I T I C O   M O V I M I E N T O   C I U D A D A N O < / P r o m o v e n t e s S i n T i p o > < P r e c e d e n t e s / > < P r e c e d e n t e I D > 0 < / P r e c e d e n t e I D > < M i n i s t r o G e n e r o > M I N I S T R O   L U I S   M A R � A   A G U I L A R   M O R A L E S < / M i n i s t r o G e n e r o > < P r o m o v e n t e s M i n u s c u l a > P a r t i d o   P o l i t i c o   M o v i m i e n t o   C i u d a d a n o < / P r o m o v e n t e s M i n u s c u l a > < L i s t a A s u n t o O r g a n o / > < M i n i s t r o E x p e d i e n t e > L U I S   M A R � A   A G U I L A R   M O R A L E S < / M i n i s t r o E x p e d i e n t e > < P a l a b r a s M i n u s c u l a s > E l , L a , L o s , L a s , U n , U n o , U n a , U n o s , U n a s , A , A l , D e l , D e , L o , Y , E n , P o r , S u , O t r o , O t r a , C o n , A n t e , B a j o , E n t r e , P a r a , C o n t r a < / P a l a b r a s M i n u s c u l a s > < L i s t a A c u e r d o s A d m i s i o n > < E A c u e r d o > < A c u e r d o I D > 1 1 6 8 1 8 2 < / A c u e r d o I D > < A c u e r d o > A D M I S I � N  
 C i u d a d   d e   M � x i c o ,   a   d o s   d e   m a y o   d e   d o s   m i l   v e i n t i d � s .  
  
 V i s t o s   e l   e s c r i t o   y   l o s   a n e x o s   d e   c u e n t a ,   d e   D a n t e   A l f o n s o   D e l g a d o   R a n n a u r o ,   B e n j a m � n   A l a m i l l o   G o n z � l e z ,   A n a   L u c � a   B a d u y   V a l l e s ,   R u b � n   I s a a c   B a r r i o s   O c h o a ,   J a c o b o   D a v i d   C h e j a   A l f a r o ,   P r i s c i l l a   F r a n c o   B a r b a ,   M a r t h a   P a t r i c i a   H e r r e r a   G o n z � l e z ,   T a b i t a   O r t i z   H e r n � n d e z ,   L u c � a   A l e j a n d r a   P u e n t e   G a r c � a   y   J u a n   I g n a c i o   Z a v a l a   G u t i � r r e z ,   q u i e n e s   s e   o s t e n t a n   c o m o   C o o r d i n a d o r ,   i n t e g r a n t e s   y   S e c r e t a r i o   G e n e r a l   d e   A c u e r d o s ,   r e s p e t i v a m e n t e ,   d e   l a   C o m i s i � n   O p e r a t i v a   N a c i o n a l   d e l   P a r t i d o   P o l � t i c o   M o v i m i e n t o   C i u d a d a n o ,   m e d i a n t e   l o s   c u a l e s   p r o m u e v e n   a c c i � n   d e   i n c o n s t i t u c i o n a l i d a d ,   e n   l a   q u e   s o l i c i t a n   l a   d e c l a r a c i � n   d e   i n v a l i d e z   d e   l o   s i g u i e n t e .  
  
  I I I .   N O R M A   G E N E R A L   C U Y A   I N V A L I D E Z   S E   R E C L A M A   Y   E L   M E D I O   O F I C I A L   E N   Q U E   S E   H U B I E R E   P U B L I C A D O :   E l   d e c r e t o   p o r   e l   q u e   s e   a d i c i o n a   u n   i n c i s o   h )   a l   n u m e r a l   1   d e l   a r t � c u l o   1 0   d e   l a   L e y   G e n e r a l   d e   M e d i o s   d e   I m p u g n a c i � n   e n   M a t e r i a   E l e c t o r a l .  .  
  
 C o n   f u n d a m e n t o   e n   l o s   a r t � c u l o s   1 0 5 ,   f r a c c i � n   I I ,   i n c i s o   f )   ,   d e   l a   C o n s t i t u c i � n   P o l � t i c a   d e   l o s   E s t a d o s   U n i d o s   M e x i c a n o s   y   1   ,   1 1 ,   p � r r a f o   p r i m e r o   ,   e n   r e l a c i � n   c o n   e l   5 9     y   6 2 ,   p � r r a f o   t e r c e r o   ,   d e   l a   L e y   R e g l a m e n t a r i a   d e   l a s   F r a c c i o n e s   I   y   I I   d e l   A r t � c u l o   1 0 5   d e   l a   C o n s t i t u c i � n   P o l � t i c a   d e   l o s   E s t a d o s   U n i d o s   M e x i c a n o s ,   s e   t i e n e n   p o r   p r e s e n t a d o s   a   l o s   p r o m o v e n t e s   c o n   l a   p e r s o n a l i d a d   q u e   o s t e n t a n     y   s e   a d m i t e   a   t r � m i t e   l a   a c c i � n   d e   i n c o n s t i t u c i o n a l i d a d   q u e   h a c e n   v a l e r ,   s i n   p e r j u i c i o   d e   l o s   m o t i v o s   d e   i m p r o c e d e n c i a   q u e ,   d e   m a n e r a   f e h a c i e n t e ,   p u e d a n   a d v e r t i r s e   a l   m o m e n t o   d e   d i c t a r   s e n t e n c i a .  
  
 N o   p a s a   i n a d v e r t i d o   q u e ,   s i   b i e n   l a   d e m a n d a   d e   a c c i � n   d e   i n c o n s t i t u c i o n a l i d a d   t a m b i � n   f u e   s u s c r i t a   p o r   J u a n   I g n a c i o   Z a v a l a   G u t i � r r e z ,   o s t e n t � n d o s e   c o m o   S e c r e t a r i o   G e n e r a l   d e   A c u e r d o s   d e   l a   C o m i s i � n   O p e r a t i v a   N a c i o n a l   d e l   P a r t i d o   P o l � t i c o   N a c i o n a l   d e n o m i n a d o   M o v i m i e n t o   C i u d a d a n o ,   t a m b i � n   l o   e s   q u e ,   d e   l a   l e c t u r a   d e   l o s   e s t a t u t o s ,   n o   s e   d e s p r e n d e   f a c u l t a d   a l g u n a   e n   e s e   s e n t i d o ,   n o   o b s t a n t e   l o   a n t e r i o r ,   d i c h a   d e t e r m i n a c i � n   d e   d e c i d i r �   d e   m a n e r a   d e f i n i t i v a   a l   m o m e n t o   d e   d i c t a r   s e n t e n c i a .  
  
 C o m o   l o   s o l i c i t a n ,   s e   t i e n e   a   l o s   p r o m o v e n t e s   s e � a l a n d o   d o m i c i l i o   p a r a   o � r   y   r e c i b i r   n o t i f i c a c i o n e s   e n   e s t a   c i u d a d ,   d e s i g n a n d o   d e l e g a d o s   y ,   o f r e c i e n d o   c o m o   p r u e b a s   l a s   d o c u m e n t a l e s   q u e   a c o m p a � a n ,   a s �   c o m o   l a   i n s t r u m e n t a l   d e   a c t u a c i o n e s   y   l a   p r e s u n c i o n a l   e n   s u   d o b l e   a s p e c t o ,   l e g a l   y   h u m a n o .  
  
 L o   a n t e r i o r ,   c o n   f u n d a m e n t o   e n   l o s   a r t � c u l o s   1 1 ,   p � r r a f o   s e g u n d o     y   3 1   ,   e n   r e l a c i � n   c o n   e l   5 9 ,   d e   l a   L e y   R e g l a m e n t a r i a   d e   l a   M a t e r i a ,   a s �   c o m o   3 0 5     d e l   C � d i g o   F e d e r a l   d e   P r o c e d i m i e n t o s   C i v i l e s ,   d e   a p l i c a c i � n   s u p l e t o r i a ,   e n   t � r m i n o s   d e l   a r t � c u l o   1   d e   l a   c i t a d a   l e y .  
  
 E n   o t r o   o r d e n   d e   i d e a s ,   c o n   f u n d a m e n t o   e n   e l   a r t � c u l o   6 4 ,   p � r r a f o   p r i m e r o   y   s e g u n d o   ,   d e   l a   n o r m a t i v a   R e g l a m e n t a r i a ,   c o n   c o p i a   s i m p l e   d e l   e s c r i t o   y   l o s   a n e x o s   d e   c u e n t a ,   d e s e   v i s t a   a l   P o d e r   E j e c u t i v o   F e d e r a l ,   a s �   c o m o   a   l a s   C � m a r a s   d e   D i p u t a d o s   y   d e   S e n a d o r e s   d e l   C o n g r e s o   d e   l a   U n i � n ,   p a r a   q u e   r i n d a n   s u   i n f o r m e   d e n t r o   d e l   p l a z o   d e   s e i s   d � a s   n a t u r a l e s ,   c o n t a d o s   a   p a r t i r   d e l   s i g u i e n t e   a l   e n   q u e   s u r t a   e f e c t o s   l a   n o t i f i c a c i � n   d e   e s t e   a c u e r d o ,   p o r   c o n d u c t o   d e   l o s   f u n c i o n a r i o s   q u e ,   e n   t � r m i n o s   d e   l a s   l e y e s   q u e   l o s   r i g e n ,   s e   e n c u e n t r e n   f a c u l t a d o s   p a r a   r e p r e s e n t a r l o s ,   d e b i e n d o   a c o m p a � a r   c o p i a   c e r t i f i c a d a   d e   l a   d o c u m e n t a l   q u e   a c r e d i t e   e l   c a r g o   q u e   o s t e n t a n ,   y ,   a l   h a c e r l o ,   s e � a l e n   d o m i c i l i o   p a r a   o � r   y   r e c i b i r   n o t i f i c a c i o n e s   e n   e s t a   c i u d a d ;   a p e r c i b i d o s   q u e ,   d e   l o   c o n t r a r i o ,   l a s   s u b s e c u e n t e s   s e   l e s   h a r � n   p o r   l i s t a ,   h a s t a   e n   t a n t o   c u m p l a n   c o n   l o   i n d i c a d o .   S i n   q u e   r e s u l t e   n e c e s a r i o   q u e   r e m i t a n   c o p i a s   d e   t r a s l a d o   d e   l o s   i n f o r m e s   r e s p e c t i v o s ,   a l   n o   s e r   u n   r e q u i s i t o   q u e   s e   e s t a b l e z c a   e n   l a   L e y   R e g l a m e n t a r i a   d e   l a   M a t e r i a .  
  
 E s t o ,   d e   c o n f o r m i d a d   c o n   l o s   a r t � c u l o s   5     d e   l a   L e y   R e g l a m e n t a r i a   y   3 0 5   d e l   a l u d i d o   C � d i g o   F e d e r a l ,   a s �   c o m o   c o n   a p o y o ,   p o r   a n a l o g � a ,   e n   l a   t e s i s   d e   r u b r o :    C O N T R O V E R S I A S   C O N S T I T U C I O N A L E S .   L A S   P A R T E S   E S T � N   O B L I G A D A S   A   S E � A L A R   D O M I C I L I O   P A R A   O � R   Y   R E C I B I R   N O T I F I C A C I O N E S   E N   E L   L U G A R   E N   Q U E   T I E N E   S U   S E D E   L A   S U P R E M A   C O R T E   D E   J U S T I C I A   D E   L A   N A C I � N   ( A P L I C A C I � N   S U P L E T O R I A   D E L   A R T � C U L O   3 0 5   D E L   C � D I G O   F E D E R A L   D E   P R O C E D I M I E N T O S   C I V I L E S   A   L A   L E Y   R E G L A M E N T A R I A   D E   L A   M A T E R I A )    .  
  
 A d e m � s ,   a   e f e c t o   d e   i n t e g r a r   d e b i d a m e n t e   e s t e   e x p e d i e n t e ,   c o n   f u n d a m e n t o   e n   e l   a r t � c u l o   6 8 ,   p � r r a f o   p r i m e r o   ,   d e   l a   L e y   R e g l a m e n t a r i a ,   s e   r e q u i e r e   a l   P o d e r   E j e c u t i v o   F e d e r a l ,   a s �   c o m o   a   l a s   C � m a r a s   d e   D i p u t a d o s   y   d e   S e n a d o r e s   d e l   C o n g r e s o   d e   l a   U n i � n ,   p a r a   q u e ,   a l   r e n d i r   s u s   i n f o r m e s ,   e n v � e n   a   e s t e   A l t o   T r i b u n a l :    
  
 a ) 	 E l   � r g a n o   E j e c u t i v o   F e d e r a l ,   o r i g i n a l   o   c o p i a   c e r t i f i c a d a   d e   u n   e j e m p l a r   d e l   D i a r i o   O f i c i a l   d e   l a   F e d e r a c i � n   e n   e l   q u e   c o n s t e   l a   p u b l i c a c i � n   d e   l a   n o r m a   g e n e r a l   i m p u g n a d a .    
  
 b ) 	 D e   l a s   C � m a r a s   d e   D i p u t a d o s   y   d e   S e n a d o r e s   d e l   C o n g r e s o   d e   l a   U n i � n ,   c o p i a s   c e r t i f i c a d a s   d e   l o s   a n t e c e d e n t e s   l e g i s l a t i v o s   d e   l a   n o r m a   g e n e r a l   i m p u g n a d a ,   c o m o   s o n ,   l a s   i n i c i a t i v a s ,   l o s   d i c t � m e n e s   d e   l a s   c o m i s i o n e s   c o r r e s p o n d i e n t e s ,   l a s   a c t a s   d e   l a s   s e s i o n e s   e n   l a s   q u e   s e   h a y a n   a p r o b a d o   y   e n   l a s   q u e   c o n s t e   l a   v o t a c i � n   d e   l o s   i n t e g r a n t e s   d e   e s e   � r g a n o   l e g i s l a t i v o ,   a s �   c o m o   l o s   r e s p e c t i v o s   d i a r i o s   d e   d e b a t e s ,   e n t r e   o t r o s .  
  
 E s t o ,   a p e r c i b i d o s   q u e ,   d e   n o   c u m p l i r   c o n   l o   a n t e r i o r ,   s e   l e s   a p l i c a r �   u n a   m u l t a ,   e n   t � r m i n o s   d e l   a r t � c u l o   5 9 ,   f r a c c i � n   I   ,   d e l   c i t a d o   C � d i g o   F e d e r a l   d e   P r o c e d i m i e n t o s   C i v i l e s .  
  
 D e   i g u a l   f o r m a ,   d e s e   v i s t a   a   l a   F i s c a l � a   G e n e r a l   d e   l a   R e p � b l i c a   p a r a   q u e   f o r m u l e   e l   p e d i m e n t o   q u e   l e   c o r r e s p o n d e   h a s t a   a n t e s   d e l   c i e r r e   d e   i n s t r u c c i � n ;   e l l o ,   d e   c o n f o r m i d a d   c o n   e l   a r t � c u l o   6 6   ,   d e   l a   L e y   R e g l a m e n t a r i a   d e   l a   M a t e r i a ,   e n   r e l a c i � n   c o n   l o   d e t e r m i n a d o   p o r   e l   P l e n o   d e   e s t e   A l t o   T r i b u n a l   e n   s u   s e s i � n   p r i v a d a   d e   o n c e   d e   m a r z o   d e   d o s   m i l   d i e c i n u e v e   .  
  
 A t e n t o   a   l o   d e t e r m i n a d o   p o r   e l   P l e n o   d e   e s t e   A l t o   T r i b u n a l ,   e n   l a   s e � a l a d a   s e s i � n   p r i v a d a   d e   o n c e   d e   m a r z o   d e   d o s   m i l   d i e c i n u e v e ,   n o   e s   e l   c a s o   d a r   v i s t a   a   l a   C o n s e j e r � a   J u r � d i c a   d e l   G o b i e r n o   F e d e r a l ,   d a d o   q u e   e l   P o d e r   E j e c u t i v o   F e d e r a l   t i e n e   e l   c a r � c t e r   � r g a n o   p r o m u l g a d o r   d e   l a   n o r m a   i m p u g n a d a   e n   e s t e   a s u n t o .  
  
 P o r   o t r o   l a d o ,   s e   s o l i c i t a   a l   P r e s i d e n t e   d e l   I n s t i t u t o   N a c i o n a l   E l e c t o r a l ,   q u e ,   e n   e l   p l a z o   d e   t r e s   d � a s   n a t u r a l e s ,   e n v � e   a   e s t e   A l t o   T r i b u n a l   c o p i a   c e r t i f i c a d a   d e   l o s   e s t a t u t o s   v i g e n t e s   d e l   P a r t i d o   P o l � t i c o   N a c i o n a l   d e n o m i n a d o   M o v i m i e n t o   C i u d a d a n o ,   a s �   c o m o   d e   l a   c e r t i f i c a c i � n   d e   s u   r e g i s t r o   v i g e n t e ,   a s i m i s m o ,   p r e c i s e   q u i � n   e r a   s u   r e p r e s e n t a n t e   e   i n t e g r a n t e s   d e   s u   � r g a n o   d e   d i r e c c i � n   n a c i o n a l ,   a l   m o m e n t o   d e   l a   p r e s e n t a c i � n   d e   e s t e   m e d i o   d e   c o n t r o l   c o n s t i t u c i o n a l   [ v e i n t i s � i s   d e   a b r i l   d e l   a � o   e n   c u r s o ] .  
  
 A d i c i o n a l m e n t e ,   c o n   f u n d a m e n t o   e n   e l   a r t � c u l o   6 8 ,   p � r r a f o   s e g u n d o   ,   d e   l a   c i t a d a   n o r m a t i v a   R e g l a m e n t a r i a ,   c o n   c o p i a   s i m p l e   d e l   e s c r i t o   d e   c u e n t a   y   a n e x o s ,   s o l i c � t e s e   a l   P r e s i d e n t e   d e   l a   S a l a   S u p e r i o r   d e l   T r i b u n a l   E l e c t o r a l   d e l   P o d e r   J u d i c i a l   d e   l a   F e d e r a c i � n   q u e ,   d e n t r o   d e l   p l a z o   d e   d i e z   d � a s   n a t u r a l e s ,   c o n t a d o s   a   p a r t i r   d e l   s i g u i e n t e   a l   e n   q u e   s u r t a   e f e c t o s   l a   n o t i f i c a c i � n   d e   e s t e   p r o v e � d o ,   d i c h a   S a l a   t e n g a   a   b i e n   e x p r e s a r   s u   o p i n i � n   e n   r e l a c i � n   c o n   e s t e   m e d i o   d e   c o n t r o l   c o n s t i t u c i o n a l .  
  
 S e   h a c e   d e l   c o n o c i m i e n t o   d e   t o d a s   l a s   p a r t e s ,   i n c l u y e n d o   a   l o s   p r o m o v e n t e s ,   q u e ,   a   p a r t i r   d e   l a   n o t i f i c a c i � n   d e   e s t e   p r o v e � d o ,   t o d a s   l a s   p r o m o c i o n e s   d i r i g i d a s   a l   e x p e d i e n t e   e n   q u e   s e   a c t � a ,   p o d r � n   s e r   r e m i t i d a s   v � a   e l e c t r � n i c a   a   t r a v � s   d e l   S i s t e m a   E l e c t r � n i c o   d e   l a   S u p r e m a   C o r t e   d e   J u s t i c i a   d e   l a   N a c i � n   ( S E S C J N ) ,   c o n s u l t a b l e   e n   e l   s i t i o   o f i c i a l   d e   i n t e r n e t   d e   e s t e   A l t o   T r i b u n a l   ( w w w . s c j n . g o b . m x )   e n   e l   e n l a c e   d i r e c t o ,   o   b i e n ,   e n   l a   s i g u i e n t e   l i g a   o   h i p e r v � n c u l o   h t t p s : / / w w w . s e . p j f . g o b . m x / A c c o u n t / L o g i n ? R e t u r n U r l = % 2 f .  
  
 L o   a n t e r i o r ,   d e b e   h a c e r s e   p o r   c o n d u c t o   d e l   r e p r e s e n t a n t e   l e g a l ;   p r o p o r c i o n a n d o   a l   e f e c t o ,   l a   c l a v e   � n i c a   d e   r e g i s t r o   d e   p o b l a c i � n   ( C U R P )   c o r r e s p o n d i e n t e   a   l a   f i r m a   e l e c t r � n i c a   ( F I R E L )   v i g e n t e ,   a l   c e r t i f i c a d o   d i g i t a l   o   e . f i r m a ,   y   p o d r � n   d e s i g n a r   a   l a s   p e r s o n a s   a u t o r i z a d a s   p a r a   c o n s u l t a r   e l   e x p e d i e n t e   e l e c t r � n i c o   y   r e c i b i r   n o t i f i c a c i o n e s   p o r   e s a   v � a ,   l a s   c u a l e s   d e b e r � n   r e u n i r   l o s   r e q u i s i t o s   y a   c i t a d o s ;   e n   t � r m i n o s   d e   l o s   a r t � c u l o s   1 7   ,   2 1   ,   2 8   ,   2 9 ,   p � r r a f o   p r i m e r o   ,   3 4   ,   y   C u a r t o     T r a n s i t o r i o     d e l   A c u e r d o   G e n e r a l   P l e n a r i o   8 / 2 0 2 0 .  
  
 C o n   f u n d a m e n t o   e n   e l   a r t � c u l o   2 8 7     d e l   r e f e r i d o   C � d i g o   F e d e r a l   d e   P r o c e d i m i e n t o s   C i v i l e s ,   h � g a s e   l a   c e r t i f i c a c i � n   d e   l o s   d � a s   e n   q u e   t r a n s c u r r e n   l o s   p l a z o s   o t o r g a d o s   e n   e s t e   a s u n t o .    
  
 P o r   l a   n a t u r a l e z a   y   l a   i m p o r t a n c i a   d e   e s t e   p r o c e d i m i e n t o   c o n s t i t u c i o n a l ,   c o n   a p o y o   e n   e l   a r t � c u l o   2 8 2     d e l   m e n c i o n a d o   C � d i g o   F e d e r a l ,   s e   h a b i l i t a n   l o s   d � a s   y   l a s   h o r a s   q u e   s e   r e q u i e r a n   p a r a   l l e v a r   a   c a b o   l a   n o t i f i c a c i � n   d e   e s t e   a c u e r d o .  
  
 F i n a l m e n t e ,   a g r � g u e s e   a l   e x p e d i e n t e ,   p a r a   q u e   s u r t a   e f e c t o s   l e g a l e s ,   l a   i m p r e s i � n   d e   l a   e v i d e n c i a   c r i p t o g r � f i c a   d e   e s t e   p r o v e � d o ,   e n   t � r m i n o s   d e l   a r t � c u l o   9   ,   d e l   c i t a d o   A c u e r d o   G e n e r a l   P l e n a r i o   8 / 2 0 2 0 .  
  
 N o t i f � q u e s e ;   p o r   l i s t a ,   p o r   o f i c i o   y ,   m e d i a n t e   M I N T E R S C J N   r e g u l a d o   e n   e l   A c u e r d o   G e n e r a l   P l e n a r i o   1 2 / 2 0 1 4 ,   a   l a   F i s c a l � a   G e n e r a l   d e   l a   R e p � b l i c a   y   a l   P r e s i d e n t e   d e   l a   S a l a   S u p e r i o r   d e l   T r i b u n a l   E l e c t o r a l   d e l   P o d e r   J u d i c i a l   d e   l a   F e d e r a c i � n .  
  
 A   e f e c t o   d e   n o t i f i c a r   a   l a   F i s c a l � a   G e n e r a l   d e   l a   R e p � b l i c a ,   r e m � t a s e   l a   v e r s i � n   d i g i t a l i z a d a   d e l   p r e s e n t e   a c u e r d o ,   a s �   c o m o   d e l   e s c r i t o   d e   c u e n t a   y   s u s   a n e x o s ,   p o r   c o n d u c t o   d e l   M I N T E R S C J N ,   r e g u l a d o   e n   e l   A c u e r d o   G e n e r a l   P l e n a r i o   1 2 / 2 0 1 4 ;   a   e f e c t o   d e   q u e ,   c o n   a p o y o   e n   l o   d i s p u e s t o   e n   l o s   a r t � c u l o s   4 ,   p � r r a f o   p r i m e r o   ,   y   5   d e   l a   L e y   R e g l a m e n t a r i a   d e   l a   M a t e r i a ,   s e   l l e v e   a   c a b o   l a   d i l i g e n c i a   d e   n o t i f i c a c i � n   a   l a   r e f e r i d a   a u t o r i d a d ,   e n   s u   r e s i d e n c i a   o f i c i a l ,   d e   l o   y a   i n d i c a d o ;   e n   l a   i n t e l i g e n c i a   d e   q u e   l a   c o p i a   d i g i t a l i z a d a   d e   e s t e   p r o v e � d o ,   e n   l a   q u e   c o n s t e   l a   e v i d e n c i a   c r i p t o g r � f i c a   d e   l a   f i r m a   e l e c t r � n i c a   d e l   s e r v i d o r   p � b l i c o   r e s p o n s a b l e   d e   s u   r e m i s i � n   p o r   e l   M I N T E R S C J N ,   h a c e   l a s   v e c e s   d e l   o f i c i o   3 9 2 3 / 2 0 2 2 ,   p o r   l o   q u e   d i c h a   n o t i f i c a c i � n   s e   t e n d r �   p o r   r e a l i z a d a   u n a   v e z   q u e   s e   h a y a   g e n e r a d o   e l   a c u s e   d e   e n v � o   r e s p e c t i v o   e n   e l   S i s t e m a   E l e c t r � n i c o   d e   l a   S u p r e m a   C o r t e   d e   J u s t i c i a   d e   l a   N a c i � n .  
  
 A s i m i s m o ,   r e s p e c t o   a   l a   n o t i f i c a c i � n   d e l   P r e s i d e n t e   d e   l a   S a l a   S u p e r i o r   d e l   T r i b u n a l   E l e c t o r a l   d e l   P o d e r   J u d i c i a l   d e   l a   F e d e r a c i � n ,   r e m � t a s e   l a   v e r s i � n   d i g i t a l i z a d a   d e l   p r e s e n t e   a c u e r d o ,   a s �   c o m o   d e l   e s c r i t o   d e   c u e n t a   y   s u s   a n e x o s ,   p o r   c o n d u c t o   d e l   M I N T E R S C J N ,   r e g u l a d o   e n   e l   A c u e r d o   G e n e r a l   P l e n a r i o   1 2 / 2 0 1 4 ;   e n   e l   e n t e n d i d o   d e   q u e   e n   t � r m i n o s   d e   l o   d i s p u e s t o   e n   e l   a r t � c u l o   1 6 ,   f r a c c i � n   I I     d e l   r e f e r i d o   A c u e r d o   G e n e r a l   P l e n a r i o ,   e l   a c u s e   d e   e n v � o   q u e   s e   g e n e r e   p o r   e l   c i t a d o   m � d u l o   d e   i n t e r c o m u n i c a c i � n   c o n   m o t i v o   d e   l a   r e m i s i � n   d e   l a   v e r s i � n   d i g i t a l   d e   e s t e   a c u e r d o ,   h a c e   l a s   v e c e s   d e l   r e s p e c t i v o   o f i c i o   d e   n o t i f i c a c i � n   n � m e r o   3 9 2 4 / 2 0 2 2 ,   p o r   l o   q u e ,   a t e n d i e n d o   a   l o   p r e v i s t o   e n   l a s   f r a c c i o n e s   I ,   I I I   y   I V   d e l   c i t a d o   a r t � c u l o   1 6   ,   d i c h a   n o t i f i c a c i � n   s e   t e n d r �   p o r   r e a l i z a d a   u n a   v e z   q u e   l a   d o c u m e n t a c i � n   r e m i t i d a   s e   r e c i b a   e n   e l   r e p o s i t o r i o   c o r r e s p o n d i e n t e ,   l o   q u e   d a r �   l u g a r   a   l a   g e n e r a c i � n   d e   l o s   r e s p e c t i v o s   a c u s e s   d e   e n v � o   y   d e   r e c i b o ;   e n   l a   i n t e l i g e n c i a   d e   q u e   e l   p e r s o n a l   a s i g n a d o   d e l   r e f e r i d o   T r i b u n a l ,   c o m o   r e s p o n s a b l e   d e   l a   c o n s u l t a   d e l   r e p o s i t o r i o   d e l   M I N T E R S C J N   c o r r e s p o n d i e n t e   a   e s a   i n s t i t u c i � n ,   d e b e   c o n s u l t a r l o   d i a r i a m e n t e   e n   c u m p l i m i e n t o   a   l o   p r e v i s t o   e n   e l   a r t � c u l o   1 6 ,   f r a c c i � n   I ,   d e l   c i t a d o   A c u e r d o   G e n e r a l   P l e n a r i o .  
  
 L o   p r o v e y �   y   f i r m a   e l   M i n i s t r o   i n s t r u c t o r   L u i s   M a r � a   A g u i l a r   M o r a l e s ,   q u i e n   a c t � a   c o n   C a r m i n a   C o r t � s   R o d r � g u e z ,   S e c r e t a r i a   d e   l a   S e c c i � n   d e   T r � m i t e   d e   C o n t r o v e r s i a s   C o n s t i t u c i o n a l e s   y   d e   A c c i o n e s   d e   I n c o n s t i t u c i o n a l i d a d   d e   l a   S u b s e c r e t a r � a   G e n e r a l   d e   A c u e r d o s   d e   e s t e   A l t o   T r i b u n a l ,   q u e   d a   f e .  
 < / A c u e r d o > < F e c h a A c u e r d o > 0 2 / 0 5 / 2 0 2 2   ( P L E N O ) < / F e c h a A c u e r d o > < F e c h a A c u e r d o T e x t o > d o s   d e   m a y o   d e   d o s   m i l   v e i n t i d � s < / F e c h a A c u e r d o T e x t o > < T i p o A c u e r d o > A D M I S I � N < / T i p o A c u e r d o > < T i p o A s u n t o E x p e d i e n t e > A c c i � n   D e   I n c o n s t i t u c i o n a l i d a d   6 2 / 2 0 2 2 < / T i p o A s u n t o E x p e d i e n t e > < P e r t e n e n c i a > P L E N O < / P e r t e n e n c i a > < E t i q u e t a P r e s i d e n t e P e r t e n e n c i a > l a   P r e s i d e n c i a < / E t i q u e t a P r e s i d e n t e P e r t e n e n c i a > < / E A c u e r d o > < / L i s t a A c u e r d o s A d m i s i o n > < L i s t a A c u e r d o s A v o c a m i e n t o / > < / E E x p e d i e n t 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 f a l s e 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4.xml><?xml version="1.0" encoding="utf-8"?>
<p:properties xmlns:p="http://schemas.microsoft.com/office/2006/metadata/properties" xmlns:xsi="http://www.w3.org/2001/XMLSchema-instance" xmlns:pc="http://schemas.microsoft.com/office/infopath/2007/PartnerControls">
  <documentManagement>
    <_dlc_DocId xmlns="72063372-7777-4a65-85ec-aeb5f5d4da7a" xsi:nil="true"/>
    <_dlc_DocIdUrl xmlns="72063372-7777-4a65-85ec-aeb5f5d4da7a">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A33016447D64AE468F67410E71CD9D74" ma:contentTypeVersion="1" ma:contentTypeDescription="Crear nuevo documento." ma:contentTypeScope="" ma:versionID="45033a96ba7efd5d6ff030813957cdda">
  <xsd:schema xmlns:xsd="http://www.w3.org/2001/XMLSchema" xmlns:xs="http://www.w3.org/2001/XMLSchema" xmlns:p="http://schemas.microsoft.com/office/2006/metadata/properties" xmlns:ns2="72063372-7777-4a65-85ec-aeb5f5d4da7a" targetNamespace="http://schemas.microsoft.com/office/2006/metadata/properties" ma:root="true" ma:fieldsID="801f12874b2efc6c4d6770d836453078" ns2:_="">
    <xsd:import namespace="72063372-7777-4a65-85ec-aeb5f5d4da7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3372-7777-4a65-85ec-aeb5f5d4da7a"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E B u s q u e d a A s u n t o   x m l n s = " h t t p : / / s c h e m a s . o p e n x m l f o r m a t s . o r g / A s u n t o A c t u a l " > < C o n s e c u t i v o > 6 2 < / C o n s e c u t i v o > < A � o > 2 0 2 2 < / A � o > < T i p o A s u n t o I D > 1 9 < / T i p o A s u n t o I D > < A s u n t o I D > 2 9 6 5 1 2 < / A s u n t o I D > < E x p e d i e n t e > 6 2 / 2 0 2 2 < / E x p e d i e n t e > < T i p o A s u n t o > A C C I � N   D E   I N C O N S T I T U C I O N A L I D A D < / T i p o A s u n t o > < / E B u s q u e d a A s u n t o > 
</file>

<file path=customXml/item7.xml>��< ? x m l   v e r s i o n = " 1 . 0 "   e n c o d i n g = " u t f - 1 6 " ? > < E P l a n t i l l a   x m l n s = " h t t p : / / s c h e m a s . o p e n x m l f o r m a t s . o r g / P l a n t i l l a A c t u a l " > < P l a n t i l l a I D > 2 < / P l a n t i l l a I D > < N o m b r e > P l a n t i l l a   A I < / N o m b r e > < D e s c r i p c i o n > P l a n t i l l a   p a r a   A c c i o n e s   d e   I n c o n s t i t u c i o n a l i d a d < / D e s c r i p c i o n > < A c t i v o > t r u e < / A c t i v o > < R u t a P l a n t i l l a > \ \ r v l k v s i j f s 0 1 . s c j n . P J F . g o b . m x \ F s _ W o r d S I J \ P l a n t i l l a s \ S e n t e n c i a \ P l a n t i l l a   A I . d o t x < / R u t a P l a n t i l l a > < P r o c e d i m i e n t o C o n s u l t a > [ W o r d S I J ] . [ u s p _ I n f o r m a c i o n E x p e d i e n t e _ A I ] < / P r o c e d i m i e n t o C o n s u l t a > < T i p o P l a n t i l l a I D > 1 < / T i p o P l a n t i l l a I D > < T i p o P l a n t i l l a > S E N T E N C I A < / T i p o P l a n t i l l a > < N o m b r e F o r m u l a r i o > W o r d S I J . F o r m u l a r i o s . P l a n t i l l a s . F r m I n f o r m a c i o n A I < / N o m b r e F o r m u l a r i o > < / E P l a n t i l l 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0FF4B-1473-48C9-8157-31281B41115E}">
  <ds:schemaRefs>
    <ds:schemaRef ds:uri="http://schemas.openxmlformats.org/ExpedienteActual"/>
  </ds:schemaRefs>
</ds:datastoreItem>
</file>

<file path=customXml/itemProps2.xml><?xml version="1.0" encoding="utf-8"?>
<ds:datastoreItem xmlns:ds="http://schemas.openxmlformats.org/officeDocument/2006/customXml" ds:itemID="{9BBED2CC-858A-4DBE-B0E3-2AD1B3F2B127}">
  <ds:schemaRefs>
    <ds:schemaRef ds:uri="http://schemas.microsoft.com/sharepoint/v3/contenttype/forms"/>
  </ds:schemaRefs>
</ds:datastoreItem>
</file>

<file path=customXml/itemProps3.xml><?xml version="1.0" encoding="utf-8"?>
<ds:datastoreItem xmlns:ds="http://schemas.openxmlformats.org/officeDocument/2006/customXml" ds:itemID="{F65956AC-6129-4C28-BDA3-F8C7DE3641EE}">
  <ds:schemaRefs>
    <ds:schemaRef ds:uri="http://schemas.openxmlformats.org/RibbonEstatus"/>
  </ds:schemaRefs>
</ds:datastoreItem>
</file>

<file path=customXml/itemProps4.xml><?xml version="1.0" encoding="utf-8"?>
<ds:datastoreItem xmlns:ds="http://schemas.openxmlformats.org/officeDocument/2006/customXml" ds:itemID="{6D339DA3-01EC-4A7E-96B1-AACA25B915B5}">
  <ds:schemaRefs>
    <ds:schemaRef ds:uri="http://schemas.microsoft.com/office/2006/metadata/properties"/>
    <ds:schemaRef ds:uri="http://schemas.microsoft.com/office/infopath/2007/PartnerControls"/>
    <ds:schemaRef ds:uri="72063372-7777-4a65-85ec-aeb5f5d4da7a"/>
  </ds:schemaRefs>
</ds:datastoreItem>
</file>

<file path=customXml/itemProps5.xml><?xml version="1.0" encoding="utf-8"?>
<ds:datastoreItem xmlns:ds="http://schemas.openxmlformats.org/officeDocument/2006/customXml" ds:itemID="{5A5367E1-03EA-4482-9B2D-C108241FF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3372-7777-4a65-85ec-aeb5f5d4d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AA4DDC-3080-4512-9C84-575978CAEF1B}">
  <ds:schemaRefs>
    <ds:schemaRef ds:uri="http://schemas.openxmlformats.org/AsuntoActual"/>
  </ds:schemaRefs>
</ds:datastoreItem>
</file>

<file path=customXml/itemProps7.xml><?xml version="1.0" encoding="utf-8"?>
<ds:datastoreItem xmlns:ds="http://schemas.openxmlformats.org/officeDocument/2006/customXml" ds:itemID="{B480D2F1-1E7C-4692-AB0B-B1717D130790}">
  <ds:schemaRefs>
    <ds:schemaRef ds:uri="http://schemas.openxmlformats.org/PlantillaActual"/>
  </ds:schemaRefs>
</ds:datastoreItem>
</file>

<file path=customXml/itemProps8.xml><?xml version="1.0" encoding="utf-8"?>
<ds:datastoreItem xmlns:ds="http://schemas.openxmlformats.org/officeDocument/2006/customXml" ds:itemID="{D015551E-7739-4AC3-90B1-BE1E06CDB90E}">
  <ds:schemaRefs>
    <ds:schemaRef ds:uri="http://schemas.microsoft.com/sharepoint/events"/>
  </ds:schemaRefs>
</ds:datastoreItem>
</file>

<file path=customXml/itemProps9.xml><?xml version="1.0" encoding="utf-8"?>
<ds:datastoreItem xmlns:ds="http://schemas.openxmlformats.org/officeDocument/2006/customXml" ds:itemID="{C31A1284-6B23-4595-9DF1-08F961B8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Plantilla_296512_2</Template>
  <TotalTime>1</TotalTime>
  <Pages>85</Pages>
  <Words>22791</Words>
  <Characters>125352</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147848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Trejo</dc:creator>
  <cp:keywords/>
  <dc:description/>
  <cp:lastModifiedBy>Liliana Cabrera Moscoso</cp:lastModifiedBy>
  <cp:revision>2</cp:revision>
  <cp:lastPrinted>2023-01-24T18:16:00Z</cp:lastPrinted>
  <dcterms:created xsi:type="dcterms:W3CDTF">2023-06-02T15:32:00Z</dcterms:created>
  <dcterms:modified xsi:type="dcterms:W3CDTF">2023-06-02T15:32:00Z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0x010100A33016447D64AE468F67410E71CD9D74</vt:lpwstr>
  </property>
  <property fmtid="{D5CDD505-2E9C-101B-9397-08002B2CF9AE}" pid="3" name="_dlc_DocIdItemGuid">
    <vt:lpwstr>d3cccab1-108c-4c81-a852-c970940bf631</vt:lpwstr>
  </property>
</Properties>
</file>